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bottom w:val="single" w:sz="4" w:space="1" w:color="000000"/>
        </w:pBdr>
        <w:jc w:val="center"/>
        <w:rPr>
          <w:b/>
          <w:b/>
          <w:sz w:val="52"/>
        </w:rPr>
      </w:pPr>
      <w:r>
        <w:rPr>
          <w:b/>
          <w:sz w:val="52"/>
        </w:rPr>
        <w:t xml:space="preserve">Relazione annuale RPCT </w:t>
      </w:r>
    </w:p>
    <w:p>
      <w:pPr>
        <w:pStyle w:val="Normal"/>
        <w:pBdr>
          <w:top w:val="single" w:sz="4" w:space="1" w:color="000000"/>
          <w:bottom w:val="single" w:sz="4" w:space="1" w:color="000000"/>
        </w:pBdr>
        <w:jc w:val="center"/>
        <w:rPr>
          <w:b/>
          <w:b/>
          <w:sz w:val="44"/>
        </w:rPr>
      </w:pPr>
      <w:r>
        <w:rPr>
          <w:b/>
          <w:sz w:val="44"/>
        </w:rPr>
      </w:r>
    </w:p>
    <w:p>
      <w:pPr>
        <w:pStyle w:val="Normal"/>
        <w:pBdr>
          <w:top w:val="single" w:sz="4" w:space="1" w:color="000000"/>
          <w:bottom w:val="single" w:sz="4" w:space="1" w:color="000000"/>
        </w:pBdr>
        <w:jc w:val="center"/>
        <w:rPr>
          <w:b/>
          <w:b/>
          <w:sz w:val="44"/>
        </w:rPr>
      </w:pPr>
      <w:r>
        <w:rPr>
          <w:b/>
          <w:sz w:val="44"/>
        </w:rPr>
        <w:t xml:space="preserve">Anno 2022 </w:t>
      </w:r>
    </w:p>
    <w:p>
      <w:pPr>
        <w:pStyle w:val="Normal"/>
        <w:rPr/>
      </w:pPr>
      <w:r>
        <w:rPr/>
      </w:r>
    </w:p>
    <w:p>
      <w:pPr>
        <w:pStyle w:val="Normal"/>
        <w:rPr/>
      </w:pPr>
      <w:r>
        <w:rPr/>
      </w:r>
    </w:p>
    <w:p>
      <w:pPr>
        <w:pStyle w:val="Normal"/>
        <w:rPr/>
      </w:pPr>
      <w:r>
        <w:rPr/>
      </w:r>
    </w:p>
    <w:sdt>
      <w:sdtPr>
        <w:docPartObj>
          <w:docPartGallery w:val="Table of Contents"/>
          <w:docPartUnique w:val="true"/>
        </w:docPartObj>
      </w:sdtPr>
      <w:sdtContent>
        <w:p>
          <w:pPr>
            <w:pStyle w:val="Titoloindice"/>
            <w:rPr/>
          </w:pPr>
          <w:r>
            <w:br w:type="page"/>
          </w:r>
          <w:r>
            <w:rPr/>
            <w:t>INDICE</w:t>
          </w:r>
        </w:p>
        <w:p>
          <w:pPr>
            <w:pStyle w:val="Indice1"/>
            <w:tabs>
              <w:tab w:val="clear" w:pos="708"/>
              <w:tab w:val="right" w:pos="9638" w:leader="dot"/>
            </w:tabs>
            <w:rPr/>
          </w:pPr>
          <w:r>
            <w:fldChar w:fldCharType="begin"/>
          </w:r>
          <w:r>
            <w:rPr>
              <w:webHidden/>
              <w:rStyle w:val="Saltoaindice"/>
            </w:rPr>
            <w:instrText> TOC \z \o "1-3" \u \h</w:instrText>
          </w:r>
          <w:r>
            <w:rPr>
              <w:webHidden/>
              <w:rStyle w:val="Saltoaindice"/>
            </w:rPr>
            <w:fldChar w:fldCharType="separate"/>
          </w:r>
          <w:hyperlink w:anchor="__RefHeading___Toc3257_191163200">
            <w:r>
              <w:rPr>
                <w:webHidden/>
                <w:rStyle w:val="Saltoaindice"/>
              </w:rPr>
              <w:t>SEZIONE 1 ANAGRAFICA AMMINISTRAZIONE</w:t>
              <w:tab/>
              <w:t>3</w:t>
            </w:r>
          </w:hyperlink>
        </w:p>
        <w:p>
          <w:pPr>
            <w:pStyle w:val="Indice1"/>
            <w:tabs>
              <w:tab w:val="clear" w:pos="708"/>
              <w:tab w:val="right" w:pos="9638" w:leader="dot"/>
            </w:tabs>
            <w:rPr/>
          </w:pPr>
          <w:hyperlink w:anchor="__RefHeading___Toc3259_191163200">
            <w:r>
              <w:rPr>
                <w:webHidden/>
                <w:rStyle w:val="Saltoaindice"/>
              </w:rPr>
              <w:t>SEZIONE 2 ANAGRAFICA RPCT</w:t>
              <w:tab/>
              <w:t>3</w:t>
            </w:r>
          </w:hyperlink>
        </w:p>
        <w:p>
          <w:pPr>
            <w:pStyle w:val="Indice1"/>
            <w:tabs>
              <w:tab w:val="clear" w:pos="708"/>
              <w:tab w:val="right" w:pos="9638" w:leader="dot"/>
            </w:tabs>
            <w:rPr/>
          </w:pPr>
          <w:hyperlink w:anchor="__RefHeading___Toc3261_191163200">
            <w:r>
              <w:rPr>
                <w:webHidden/>
                <w:rStyle w:val="Saltoaindice"/>
              </w:rPr>
              <w:t>SEZIONE 3 RENDICONTAZIONE MISURE GENERALI</w:t>
              <w:tab/>
              <w:t>3</w:t>
            </w:r>
          </w:hyperlink>
        </w:p>
        <w:p>
          <w:pPr>
            <w:pStyle w:val="Indice2"/>
            <w:tabs>
              <w:tab w:val="clear" w:pos="708"/>
              <w:tab w:val="right" w:pos="9638" w:leader="dot"/>
            </w:tabs>
            <w:rPr/>
          </w:pPr>
          <w:hyperlink w:anchor="__RefHeading___Toc3263_191163200">
            <w:r>
              <w:rPr>
                <w:webHidden/>
                <w:rStyle w:val="Saltoaindice"/>
              </w:rPr>
              <w:t>3.1 Sintesi dell’attuazione delle misure generali</w:t>
              <w:tab/>
              <w:t>3</w:t>
            </w:r>
          </w:hyperlink>
        </w:p>
        <w:p>
          <w:pPr>
            <w:pStyle w:val="Indice2"/>
            <w:tabs>
              <w:tab w:val="clear" w:pos="708"/>
              <w:tab w:val="right" w:pos="9638" w:leader="dot"/>
            </w:tabs>
            <w:rPr/>
          </w:pPr>
          <w:hyperlink w:anchor="__RefHeading___Toc3265_191163200">
            <w:r>
              <w:rPr>
                <w:webHidden/>
                <w:rStyle w:val="Saltoaindice"/>
              </w:rPr>
              <w:t>3.2 Codice di comportamento</w:t>
              <w:tab/>
              <w:t>4</w:t>
            </w:r>
          </w:hyperlink>
        </w:p>
        <w:p>
          <w:pPr>
            <w:pStyle w:val="Indice2"/>
            <w:tabs>
              <w:tab w:val="clear" w:pos="708"/>
              <w:tab w:val="right" w:pos="9638" w:leader="dot"/>
            </w:tabs>
            <w:rPr/>
          </w:pPr>
          <w:hyperlink w:anchor="__RefHeading___Toc3267_191163200">
            <w:r>
              <w:rPr>
                <w:webHidden/>
                <w:rStyle w:val="Saltoaindice"/>
              </w:rPr>
              <w:t>3.3 Rotazione del personale</w:t>
              <w:tab/>
              <w:t>4</w:t>
            </w:r>
          </w:hyperlink>
        </w:p>
        <w:p>
          <w:pPr>
            <w:pStyle w:val="Indice3"/>
            <w:tabs>
              <w:tab w:val="clear" w:pos="708"/>
              <w:tab w:val="right" w:pos="9638" w:leader="dot"/>
            </w:tabs>
            <w:rPr/>
          </w:pPr>
          <w:hyperlink w:anchor="__RefHeading___Toc3269_191163200">
            <w:r>
              <w:rPr>
                <w:webHidden/>
                <w:rStyle w:val="Saltoaindice"/>
              </w:rPr>
              <w:t>3.3.1 Rotazione Ordinaria</w:t>
              <w:tab/>
              <w:t>4</w:t>
            </w:r>
          </w:hyperlink>
        </w:p>
        <w:p>
          <w:pPr>
            <w:pStyle w:val="Indice3"/>
            <w:tabs>
              <w:tab w:val="clear" w:pos="708"/>
              <w:tab w:val="right" w:pos="9638" w:leader="dot"/>
            </w:tabs>
            <w:rPr/>
          </w:pPr>
          <w:hyperlink w:anchor="__RefHeading___Toc3271_191163200">
            <w:r>
              <w:rPr>
                <w:webHidden/>
                <w:rStyle w:val="Saltoaindice"/>
              </w:rPr>
              <w:t>3.3.2 Rotazione Straordinaria</w:t>
              <w:tab/>
              <w:t>4</w:t>
            </w:r>
          </w:hyperlink>
        </w:p>
        <w:p>
          <w:pPr>
            <w:pStyle w:val="Indice3"/>
            <w:tabs>
              <w:tab w:val="clear" w:pos="708"/>
              <w:tab w:val="right" w:pos="9638" w:leader="dot"/>
            </w:tabs>
            <w:rPr/>
          </w:pPr>
          <w:hyperlink w:anchor="__RefHeading___Toc3273_191163200">
            <w:r>
              <w:rPr>
                <w:webHidden/>
                <w:rStyle w:val="Saltoaindice"/>
              </w:rPr>
              <w:t>3.3.3 Trasferimento d’ufficio</w:t>
              <w:tab/>
              <w:t>4</w:t>
            </w:r>
          </w:hyperlink>
        </w:p>
        <w:p>
          <w:pPr>
            <w:pStyle w:val="Indice2"/>
            <w:tabs>
              <w:tab w:val="clear" w:pos="708"/>
              <w:tab w:val="right" w:pos="9638" w:leader="dot"/>
            </w:tabs>
            <w:rPr/>
          </w:pPr>
          <w:hyperlink w:anchor="__RefHeading___Toc3275_191163200">
            <w:r>
              <w:rPr>
                <w:webHidden/>
                <w:rStyle w:val="Saltoaindice"/>
              </w:rPr>
              <w:t>3.4 Misure in materia di conflitto di interessi</w:t>
              <w:tab/>
              <w:t>5</w:t>
            </w:r>
          </w:hyperlink>
        </w:p>
        <w:p>
          <w:pPr>
            <w:pStyle w:val="Indice2"/>
            <w:tabs>
              <w:tab w:val="clear" w:pos="708"/>
              <w:tab w:val="right" w:pos="9638" w:leader="dot"/>
            </w:tabs>
            <w:rPr/>
          </w:pPr>
          <w:hyperlink w:anchor="__RefHeading___Toc3277_191163200">
            <w:r>
              <w:rPr>
                <w:webHidden/>
                <w:rStyle w:val="Saltoaindice"/>
              </w:rPr>
              <w:t>3.5 Whistleblowing</w:t>
              <w:tab/>
              <w:t>5</w:t>
            </w:r>
          </w:hyperlink>
        </w:p>
        <w:p>
          <w:pPr>
            <w:pStyle w:val="Indice2"/>
            <w:tabs>
              <w:tab w:val="clear" w:pos="708"/>
              <w:tab w:val="right" w:pos="9638" w:leader="dot"/>
            </w:tabs>
            <w:rPr/>
          </w:pPr>
          <w:hyperlink w:anchor="__RefHeading___Toc3279_191163200">
            <w:r>
              <w:rPr>
                <w:webHidden/>
                <w:rStyle w:val="Saltoaindice"/>
              </w:rPr>
              <w:t>3.6 Formazione</w:t>
              <w:tab/>
              <w:t>6</w:t>
            </w:r>
          </w:hyperlink>
        </w:p>
        <w:p>
          <w:pPr>
            <w:pStyle w:val="Indice2"/>
            <w:tabs>
              <w:tab w:val="clear" w:pos="708"/>
              <w:tab w:val="right" w:pos="9638" w:leader="dot"/>
            </w:tabs>
            <w:rPr/>
          </w:pPr>
          <w:hyperlink w:anchor="__RefHeading___Toc3281_191163200">
            <w:r>
              <w:rPr>
                <w:webHidden/>
                <w:rStyle w:val="Saltoaindice"/>
              </w:rPr>
              <w:t>3.7 Trasparenza</w:t>
              <w:tab/>
              <w:t>6</w:t>
            </w:r>
          </w:hyperlink>
        </w:p>
        <w:p>
          <w:pPr>
            <w:pStyle w:val="Indice2"/>
            <w:tabs>
              <w:tab w:val="clear" w:pos="708"/>
              <w:tab w:val="right" w:pos="9638" w:leader="dot"/>
            </w:tabs>
            <w:rPr/>
          </w:pPr>
          <w:hyperlink w:anchor="__RefHeading___Toc3283_191163200">
            <w:r>
              <w:rPr>
                <w:webHidden/>
                <w:rStyle w:val="Saltoaindice"/>
              </w:rPr>
              <w:t>3.8 Pantouflage</w:t>
              <w:tab/>
              <w:t>7</w:t>
            </w:r>
          </w:hyperlink>
        </w:p>
        <w:p>
          <w:pPr>
            <w:pStyle w:val="Indice2"/>
            <w:tabs>
              <w:tab w:val="clear" w:pos="708"/>
              <w:tab w:val="right" w:pos="9638" w:leader="dot"/>
            </w:tabs>
            <w:rPr/>
          </w:pPr>
          <w:hyperlink w:anchor="__RefHeading___Toc3285_191163200">
            <w:r>
              <w:rPr>
                <w:webHidden/>
                <w:rStyle w:val="Saltoaindice"/>
              </w:rPr>
              <w:t>3.9 Commissioni e conferimento incarichi in caso di condanna</w:t>
              <w:tab/>
              <w:t>7</w:t>
            </w:r>
          </w:hyperlink>
        </w:p>
        <w:p>
          <w:pPr>
            <w:pStyle w:val="Indice2"/>
            <w:tabs>
              <w:tab w:val="clear" w:pos="708"/>
              <w:tab w:val="right" w:pos="9638" w:leader="dot"/>
            </w:tabs>
            <w:rPr/>
          </w:pPr>
          <w:hyperlink w:anchor="__RefHeading___Toc3287_191163200">
            <w:r>
              <w:rPr>
                <w:webHidden/>
                <w:rStyle w:val="Saltoaindice"/>
              </w:rPr>
              <w:t>3.10 Patti di integrità</w:t>
              <w:tab/>
              <w:t>7</w:t>
            </w:r>
          </w:hyperlink>
        </w:p>
        <w:p>
          <w:pPr>
            <w:pStyle w:val="Indice2"/>
            <w:tabs>
              <w:tab w:val="clear" w:pos="708"/>
              <w:tab w:val="right" w:pos="9638" w:leader="dot"/>
            </w:tabs>
            <w:rPr/>
          </w:pPr>
          <w:hyperlink w:anchor="__RefHeading___Toc3289_191163200">
            <w:r>
              <w:rPr>
                <w:webHidden/>
                <w:rStyle w:val="Saltoaindice"/>
              </w:rPr>
              <w:t>3.11 Rapporti con i portatori di interessi particolari</w:t>
              <w:tab/>
              <w:t>8</w:t>
            </w:r>
          </w:hyperlink>
        </w:p>
        <w:p>
          <w:pPr>
            <w:pStyle w:val="Indice2"/>
            <w:tabs>
              <w:tab w:val="clear" w:pos="708"/>
              <w:tab w:val="right" w:pos="9638" w:leader="dot"/>
            </w:tabs>
            <w:rPr/>
          </w:pPr>
          <w:hyperlink w:anchor="__RefHeading___Toc3291_191163200">
            <w:r>
              <w:rPr>
                <w:webHidden/>
                <w:rStyle w:val="Saltoaindice"/>
              </w:rPr>
              <w:t>3.12 Considerazioni conclusive sull’attuazione delle misure generali</w:t>
              <w:tab/>
              <w:t>8</w:t>
            </w:r>
          </w:hyperlink>
        </w:p>
        <w:p>
          <w:pPr>
            <w:pStyle w:val="Indice1"/>
            <w:tabs>
              <w:tab w:val="clear" w:pos="708"/>
              <w:tab w:val="right" w:pos="9638" w:leader="dot"/>
            </w:tabs>
            <w:rPr/>
          </w:pPr>
          <w:hyperlink w:anchor="__RefHeading___Toc3293_191163200">
            <w:r>
              <w:rPr>
                <w:webHidden/>
                <w:rStyle w:val="Saltoaindice"/>
              </w:rPr>
              <w:t>SEZIONE 4 RENDICONTAZIONE MISURE SPECIFICHE</w:t>
              <w:tab/>
              <w:t>8</w:t>
            </w:r>
          </w:hyperlink>
        </w:p>
        <w:p>
          <w:pPr>
            <w:pStyle w:val="Indice2"/>
            <w:tabs>
              <w:tab w:val="clear" w:pos="708"/>
              <w:tab w:val="right" w:pos="9638" w:leader="dot"/>
            </w:tabs>
            <w:rPr/>
          </w:pPr>
          <w:hyperlink w:anchor="__RefHeading___Toc3295_191163200">
            <w:r>
              <w:rPr>
                <w:webHidden/>
                <w:rStyle w:val="Saltoaindice"/>
              </w:rPr>
              <w:t>4.1 Quadro di sintesi dell’attuazione delle misure specifiche</w:t>
              <w:tab/>
              <w:t>8</w:t>
            </w:r>
          </w:hyperlink>
        </w:p>
        <w:p>
          <w:pPr>
            <w:pStyle w:val="Indice1"/>
            <w:tabs>
              <w:tab w:val="clear" w:pos="708"/>
              <w:tab w:val="right" w:pos="9638" w:leader="dot"/>
            </w:tabs>
            <w:rPr/>
          </w:pPr>
          <w:hyperlink w:anchor="__RefHeading___Toc3297_191163200">
            <w:r>
              <w:rPr>
                <w:webHidden/>
                <w:rStyle w:val="Saltoaindice"/>
              </w:rPr>
              <w:t>SEZIONE 5 MONITORAGGIO GESTIONE DEL RISCHIO</w:t>
              <w:tab/>
              <w:t>8</w:t>
            </w:r>
          </w:hyperlink>
        </w:p>
        <w:p>
          <w:pPr>
            <w:pStyle w:val="Indice1"/>
            <w:tabs>
              <w:tab w:val="clear" w:pos="708"/>
              <w:tab w:val="right" w:pos="9638" w:leader="dot"/>
            </w:tabs>
            <w:rPr/>
          </w:pPr>
          <w:hyperlink w:anchor="__RefHeading___Toc3299_191163200">
            <w:r>
              <w:rPr>
                <w:webHidden/>
                <w:rStyle w:val="Saltoaindice"/>
              </w:rPr>
              <w:t>SEZIONE 6 MONITORAGGIO PROCEDIMENTI PENALI</w:t>
              <w:tab/>
              <w:t>9</w:t>
            </w:r>
          </w:hyperlink>
        </w:p>
        <w:p>
          <w:pPr>
            <w:pStyle w:val="Indice1"/>
            <w:tabs>
              <w:tab w:val="clear" w:pos="708"/>
              <w:tab w:val="right" w:pos="9638" w:leader="dot"/>
            </w:tabs>
            <w:rPr/>
          </w:pPr>
          <w:hyperlink w:anchor="__RefHeading___Toc3301_191163200">
            <w:r>
              <w:rPr>
                <w:webHidden/>
                <w:rStyle w:val="Saltoaindice"/>
              </w:rPr>
              <w:t>SEZIONE 7 MONITORAGGIO PROCEDIMENTI DISCIPLINARI</w:t>
              <w:tab/>
              <w:t>9</w:t>
            </w:r>
          </w:hyperlink>
        </w:p>
        <w:p>
          <w:pPr>
            <w:pStyle w:val="Indice1"/>
            <w:tabs>
              <w:tab w:val="clear" w:pos="708"/>
              <w:tab w:val="right" w:pos="9638" w:leader="dot"/>
            </w:tabs>
            <w:rPr/>
          </w:pPr>
          <w:hyperlink w:anchor="__RefHeading___Toc3303_191163200">
            <w:r>
              <w:rPr>
                <w:webHidden/>
                <w:rStyle w:val="Saltoaindice"/>
              </w:rPr>
              <w:t>SEZIONE 8 CONSIDERAZIONI GENERALI</w:t>
              <w:tab/>
              <w:t>9</w:t>
            </w:r>
          </w:hyperlink>
        </w:p>
        <w:p>
          <w:pPr>
            <w:pStyle w:val="Indice1"/>
            <w:tabs>
              <w:tab w:val="clear" w:pos="708"/>
              <w:tab w:val="right" w:pos="9638" w:leader="dot"/>
            </w:tabs>
            <w:rPr/>
          </w:pPr>
          <w:hyperlink w:anchor="__RefHeading___Toc3305_191163200">
            <w:r>
              <w:rPr>
                <w:webHidden/>
                <w:rStyle w:val="Saltoaindice"/>
              </w:rPr>
              <w:t>SEZIONE 9 MONITORAGGIO MISURE SPECIFICHE</w:t>
              <w:tab/>
              <w:t>10</w:t>
            </w:r>
          </w:hyperlink>
        </w:p>
        <w:p>
          <w:pPr>
            <w:pStyle w:val="Indice2"/>
            <w:tabs>
              <w:tab w:val="clear" w:pos="708"/>
              <w:tab w:val="right" w:pos="9638" w:leader="dot"/>
            </w:tabs>
            <w:rPr/>
          </w:pPr>
          <w:hyperlink w:anchor="__RefHeading___Toc3307_191163200">
            <w:r>
              <w:rPr>
                <w:webHidden/>
                <w:rStyle w:val="Saltoaindice"/>
              </w:rPr>
              <w:t>9.1 Misure specifiche di controllo</w:t>
              <w:tab/>
              <w:t>10</w:t>
            </w:r>
          </w:hyperlink>
        </w:p>
        <w:p>
          <w:pPr>
            <w:pStyle w:val="Indice2"/>
            <w:tabs>
              <w:tab w:val="clear" w:pos="708"/>
              <w:tab w:val="right" w:pos="9638" w:leader="dot"/>
            </w:tabs>
            <w:rPr/>
          </w:pPr>
          <w:hyperlink w:anchor="__RefHeading___Toc3309_191163200">
            <w:r>
              <w:rPr>
                <w:webHidden/>
                <w:rStyle w:val="Saltoaindice"/>
              </w:rPr>
              <w:t>9.2 Misure specifiche di trasparenza</w:t>
              <w:tab/>
              <w:t>12</w:t>
            </w:r>
          </w:hyperlink>
        </w:p>
        <w:p>
          <w:pPr>
            <w:pStyle w:val="Indice2"/>
            <w:tabs>
              <w:tab w:val="clear" w:pos="708"/>
              <w:tab w:val="right" w:pos="9638" w:leader="dot"/>
            </w:tabs>
            <w:rPr/>
          </w:pPr>
          <w:hyperlink w:anchor="__RefHeading___Toc3311_191163200">
            <w:r>
              <w:rPr>
                <w:webHidden/>
                <w:rStyle w:val="Saltoaindice"/>
              </w:rPr>
              <w:t>9.3 Misure specifiche di definizione e promozione dell’etica e di standard di comportamento</w:t>
              <w:tab/>
              <w:t>13</w:t>
            </w:r>
          </w:hyperlink>
        </w:p>
        <w:p>
          <w:pPr>
            <w:pStyle w:val="Indice2"/>
            <w:tabs>
              <w:tab w:val="clear" w:pos="708"/>
              <w:tab w:val="right" w:pos="9638" w:leader="dot"/>
            </w:tabs>
            <w:rPr/>
          </w:pPr>
          <w:hyperlink w:anchor="__RefHeading___Toc3313_191163200">
            <w:r>
              <w:rPr>
                <w:webHidden/>
                <w:rStyle w:val="Saltoaindice"/>
              </w:rPr>
              <w:t>9.4 Misure specifiche di regolamentazione</w:t>
              <w:tab/>
              <w:t>14</w:t>
            </w:r>
          </w:hyperlink>
        </w:p>
        <w:p>
          <w:pPr>
            <w:pStyle w:val="Indice2"/>
            <w:tabs>
              <w:tab w:val="clear" w:pos="708"/>
              <w:tab w:val="right" w:pos="9638" w:leader="dot"/>
            </w:tabs>
            <w:rPr/>
          </w:pPr>
          <w:hyperlink w:anchor="__RefHeading___Toc3315_191163200">
            <w:r>
              <w:rPr>
                <w:webHidden/>
                <w:rStyle w:val="Saltoaindice"/>
              </w:rPr>
              <w:t>9.5 Misure specifiche di semplificazione</w:t>
              <w:tab/>
              <w:t>16</w:t>
            </w:r>
          </w:hyperlink>
        </w:p>
        <w:p>
          <w:pPr>
            <w:pStyle w:val="Indice2"/>
            <w:tabs>
              <w:tab w:val="clear" w:pos="708"/>
              <w:tab w:val="right" w:pos="9638" w:leader="dot"/>
            </w:tabs>
            <w:rPr/>
          </w:pPr>
          <w:hyperlink w:anchor="__RefHeading___Toc3317_191163200">
            <w:r>
              <w:rPr>
                <w:webHidden/>
                <w:rStyle w:val="Saltoaindice"/>
              </w:rPr>
              <w:t>9.6 Misure specifiche di formazione</w:t>
              <w:tab/>
              <w:t>16</w:t>
            </w:r>
          </w:hyperlink>
        </w:p>
        <w:p>
          <w:pPr>
            <w:pStyle w:val="Indice2"/>
            <w:tabs>
              <w:tab w:val="clear" w:pos="708"/>
              <w:tab w:val="right" w:pos="9638" w:leader="dot"/>
            </w:tabs>
            <w:rPr/>
          </w:pPr>
          <w:hyperlink w:anchor="__RefHeading___Toc3319_191163200">
            <w:r>
              <w:rPr>
                <w:webHidden/>
                <w:rStyle w:val="Saltoaindice"/>
              </w:rPr>
              <w:t>9.7 Misure specifiche di rotazione</w:t>
              <w:tab/>
              <w:t>16</w:t>
            </w:r>
          </w:hyperlink>
        </w:p>
        <w:p>
          <w:pPr>
            <w:pStyle w:val="Indice2"/>
            <w:tabs>
              <w:tab w:val="clear" w:pos="708"/>
              <w:tab w:val="right" w:pos="9638" w:leader="dot"/>
            </w:tabs>
            <w:rPr/>
          </w:pPr>
          <w:hyperlink w:anchor="__RefHeading___Toc3321_191163200">
            <w:r>
              <w:rPr>
                <w:webHidden/>
                <w:rStyle w:val="Saltoaindice"/>
              </w:rPr>
              <w:t>9.8 Misure specifiche di disciplina del conflitto di interessi</w:t>
              <w:tab/>
              <w:t>17</w:t>
            </w:r>
          </w:hyperlink>
          <w:r>
            <w:rPr>
              <w:rStyle w:val="Saltoaindice"/>
            </w:rPr>
            <w:fldChar w:fldCharType="end"/>
          </w:r>
        </w:p>
      </w:sdtContent>
    </w:sdt>
    <w:p>
      <w:pPr>
        <w:pStyle w:val="Normal"/>
        <w:rPr/>
      </w:pPr>
      <w:r>
        <w:rPr/>
      </w:r>
    </w:p>
    <w:p>
      <w:pPr>
        <w:pStyle w:val="Normal"/>
        <w:rPr>
          <w:b/>
          <w:b/>
        </w:rPr>
      </w:pPr>
      <w:r>
        <w:rPr>
          <w:b/>
        </w:rPr>
      </w:r>
      <w:r>
        <w:br w:type="page"/>
      </w:r>
    </w:p>
    <w:p>
      <w:pPr>
        <w:pStyle w:val="Titolo1"/>
        <w:rPr/>
      </w:pPr>
      <w:bookmarkStart w:id="0" w:name="__RefHeading___Toc3257_191163200"/>
      <w:bookmarkStart w:id="1" w:name="_Toc88657645"/>
      <w:bookmarkEnd w:id="0"/>
      <w:r>
        <w:rPr/>
        <w:t>ANAGRAFICA AMMINISTRAZIONE</w:t>
      </w:r>
      <w:bookmarkEnd w:id="1"/>
    </w:p>
    <w:p>
      <w:pPr>
        <w:pStyle w:val="Normal"/>
        <w:rPr/>
      </w:pPr>
      <w:r>
        <w:rPr/>
      </w:r>
    </w:p>
    <w:p>
      <w:pPr>
        <w:pStyle w:val="Normal"/>
        <w:rPr>
          <w:u w:val="single"/>
        </w:rPr>
      </w:pPr>
      <w:r>
        <w:rPr/>
        <w:t>Codice fiscale Amministrazione: 06593810481</w:t>
      </w:r>
    </w:p>
    <w:p>
      <w:pPr>
        <w:pStyle w:val="Normal"/>
        <w:rPr/>
      </w:pPr>
      <w:r>
        <w:rPr/>
        <w:t>Denominazione Amministrazione: AZIENDA UNITA' SANITARIA LOCALE TOSCANA CENTRO</w:t>
      </w:r>
    </w:p>
    <w:p>
      <w:pPr>
        <w:pStyle w:val="Normal"/>
        <w:rPr/>
      </w:pPr>
      <w:r>
        <w:rPr/>
        <w:t>Tipologia di amministrazione: Azienda/Ente pubblico del Settore Sanitario (e assimilato)</w:t>
      </w:r>
    </w:p>
    <w:p>
      <w:pPr>
        <w:pStyle w:val="Normal"/>
        <w:rPr/>
      </w:pPr>
      <w:r>
        <w:rPr/>
        <w:t>Regione di appartenenza: Toscana</w:t>
      </w:r>
    </w:p>
    <w:p>
      <w:pPr>
        <w:pStyle w:val="Normal"/>
        <w:rPr/>
      </w:pPr>
      <w:r>
        <w:rPr/>
        <w:t>Classe dipendenti: maggiore di 499</w:t>
      </w:r>
    </w:p>
    <w:p>
      <w:pPr>
        <w:pStyle w:val="Normal"/>
        <w:rPr/>
      </w:pPr>
      <w:r>
        <w:rPr/>
        <w:t>Numero totale Dirigenti: 2919</w:t>
      </w:r>
    </w:p>
    <w:p>
      <w:pPr>
        <w:pStyle w:val="Normal"/>
        <w:rPr/>
      </w:pPr>
      <w:r>
        <w:rPr/>
        <w:t>Numero di dipendenti con funzioni dirigenziali: 881</w:t>
      </w:r>
    </w:p>
    <w:p>
      <w:pPr>
        <w:pStyle w:val="Titolo1"/>
        <w:rPr/>
      </w:pPr>
      <w:bookmarkStart w:id="2" w:name="__RefHeading___Toc3259_191163200"/>
      <w:bookmarkStart w:id="3" w:name="_Toc88657646"/>
      <w:bookmarkEnd w:id="2"/>
      <w:r>
        <w:rPr/>
        <w:t>ANAGRAFICA RPCT</w:t>
      </w:r>
      <w:bookmarkEnd w:id="3"/>
    </w:p>
    <w:p>
      <w:pPr>
        <w:pStyle w:val="Normal"/>
        <w:rPr/>
      </w:pPr>
      <w:r>
        <w:rPr/>
      </w:r>
    </w:p>
    <w:p>
      <w:pPr>
        <w:pStyle w:val="Normal"/>
        <w:rPr/>
      </w:pPr>
      <w:r>
        <w:rPr/>
        <w:t>Nome RPCT: GIANLUCA</w:t>
      </w:r>
    </w:p>
    <w:p>
      <w:pPr>
        <w:pStyle w:val="Normal"/>
        <w:rPr/>
      </w:pPr>
      <w:r>
        <w:rPr/>
        <w:t>Cognome RPCT: NAPPO</w:t>
      </w:r>
    </w:p>
    <w:p>
      <w:pPr>
        <w:pStyle w:val="Normal"/>
        <w:rPr/>
      </w:pPr>
      <w:r>
        <w:rPr/>
        <w:t>Qualifica:  Dirigente</w:t>
      </w:r>
    </w:p>
    <w:p>
      <w:pPr>
        <w:pStyle w:val="Normal"/>
        <w:rPr/>
      </w:pPr>
      <w:r>
        <w:rPr/>
        <w:t>Posizione occupata: Nessuno</w:t>
      </w:r>
    </w:p>
    <w:p>
      <w:pPr>
        <w:pStyle w:val="Normal"/>
        <w:rPr/>
      </w:pPr>
      <w:r>
        <w:rPr/>
        <w:t>Data inizio incarico di RPCT: 01/08/2022</w:t>
      </w:r>
    </w:p>
    <w:p>
      <w:pPr>
        <w:pStyle w:val="Normal"/>
        <w:rPr/>
      </w:pPr>
      <w:r>
        <w:rPr/>
        <w:t>RPC svolge anche le funzioni di Responsabile della Trasparenza.</w:t>
      </w:r>
    </w:p>
    <w:p>
      <w:pPr>
        <w:pStyle w:val="Titolo1"/>
        <w:rPr/>
      </w:pPr>
      <w:bookmarkStart w:id="4" w:name="__RefHeading___Toc3261_191163200"/>
      <w:bookmarkStart w:id="5" w:name="OLE_LINK1"/>
      <w:bookmarkStart w:id="6" w:name="_Toc88657647"/>
      <w:bookmarkEnd w:id="4"/>
      <w:r>
        <w:rPr/>
        <w:t>RENDICONTAZIONE MISURE GENERALI</w:t>
      </w:r>
      <w:bookmarkEnd w:id="5"/>
      <w:bookmarkEnd w:id="6"/>
    </w:p>
    <w:p>
      <w:pPr>
        <w:pStyle w:val="Normal"/>
        <w:rPr/>
      </w:pPr>
      <w:r>
        <w:rPr/>
      </w:r>
    </w:p>
    <w:p>
      <w:pPr>
        <w:pStyle w:val="Normal"/>
        <w:jc w:val="both"/>
        <w:rPr/>
      </w:pPr>
      <w:r>
        <w:rPr/>
        <w:t>La presente sezione illustra l’andamento relativo all’attuazione delle misure generali per l’anno di riferimento del PTPCT e della sezione Anticorruzione e Trasparenza del PIAO.</w:t>
      </w:r>
    </w:p>
    <w:p>
      <w:pPr>
        <w:pStyle w:val="Normal"/>
        <w:rPr>
          <w:i/>
          <w:i/>
        </w:rPr>
      </w:pPr>
      <w:r>
        <w:rPr>
          <w:i/>
        </w:rPr>
      </w:r>
    </w:p>
    <w:p>
      <w:pPr>
        <w:pStyle w:val="Titolo2"/>
        <w:rPr/>
      </w:pPr>
      <w:bookmarkStart w:id="7" w:name="__RefHeading___Toc3263_191163200"/>
      <w:bookmarkStart w:id="8" w:name="_Toc88657648"/>
      <w:bookmarkEnd w:id="7"/>
      <w:r>
        <w:rPr/>
        <w:t>Sintesi dell’attuazione delle misure generali</w:t>
      </w:r>
      <w:bookmarkEnd w:id="8"/>
      <w:r>
        <w:rPr/>
        <w:t xml:space="preserve"> </w:t>
      </w:r>
    </w:p>
    <w:p>
      <w:pPr>
        <w:pStyle w:val="Normal"/>
        <w:rPr/>
      </w:pPr>
      <w:r>
        <w:rPr/>
      </w:r>
    </w:p>
    <w:p>
      <w:pPr>
        <w:pStyle w:val="Normal"/>
        <w:jc w:val="both"/>
        <w:rPr/>
      </w:pPr>
      <w:r>
        <w:rPr/>
        <w:t>Nel corso dell’annualità di riferimento, lo stato di programmazione e attuazione delle misure generali è sintetizzato nella seguente tabella:</w:t>
      </w:r>
    </w:p>
    <w:p>
      <w:pPr>
        <w:pStyle w:val="Normal"/>
        <w:rPr/>
      </w:pPr>
      <w:r>
        <w:rPr/>
      </w:r>
    </w:p>
    <w:tbl>
      <w:tblPr>
        <w:tblStyle w:val="Grigliatabella"/>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80"/>
        <w:gridCol w:w="1295"/>
        <w:gridCol w:w="2159"/>
      </w:tblGrid>
      <w:tr>
        <w:trPr>
          <w:trHeight w:val="288" w:hRule="atLeast"/>
        </w:trPr>
        <w:tc>
          <w:tcPr>
            <w:tcW w:w="6180" w:type="dxa"/>
            <w:tcBorders/>
          </w:tcPr>
          <w:p>
            <w:pPr>
              <w:pStyle w:val="Normal"/>
              <w:widowControl w:val="false"/>
              <w:suppressAutoHyphens w:val="true"/>
              <w:spacing w:before="0" w:after="0"/>
              <w:jc w:val="center"/>
              <w:rPr>
                <w:rFonts w:ascii="Times New Roman" w:hAnsi="Times New Roman" w:cs="Calibri"/>
                <w:b/>
                <w:b/>
                <w:bCs/>
                <w:color w:val="000000"/>
                <w:kern w:val="0"/>
                <w:sz w:val="22"/>
                <w:szCs w:val="22"/>
                <w:lang w:val="it-IT" w:bidi="ar-SA"/>
              </w:rPr>
            </w:pPr>
            <w:r>
              <w:rPr>
                <w:rFonts w:cs="Calibri"/>
                <w:b/>
                <w:bCs/>
                <w:color w:val="000000"/>
                <w:kern w:val="0"/>
                <w:sz w:val="22"/>
                <w:szCs w:val="22"/>
                <w:lang w:val="it-IT" w:bidi="ar-SA"/>
              </w:rPr>
              <w:t>Misure generali</w:t>
            </w:r>
          </w:p>
        </w:tc>
        <w:tc>
          <w:tcPr>
            <w:tcW w:w="1295" w:type="dxa"/>
            <w:tcBorders/>
          </w:tcPr>
          <w:p>
            <w:pPr>
              <w:pStyle w:val="Normal"/>
              <w:widowControl w:val="false"/>
              <w:suppressAutoHyphens w:val="true"/>
              <w:spacing w:before="0" w:after="0"/>
              <w:jc w:val="center"/>
              <w:rPr>
                <w:rFonts w:ascii="Times New Roman" w:hAnsi="Times New Roman" w:cs="Calibri"/>
                <w:b/>
                <w:b/>
                <w:bCs/>
                <w:color w:val="000000"/>
                <w:kern w:val="0"/>
                <w:sz w:val="22"/>
                <w:szCs w:val="22"/>
                <w:lang w:val="it-IT" w:bidi="ar-SA"/>
              </w:rPr>
            </w:pPr>
            <w:r>
              <w:rPr>
                <w:rFonts w:cs="Calibri"/>
                <w:b/>
                <w:bCs/>
                <w:color w:val="000000"/>
                <w:kern w:val="0"/>
                <w:sz w:val="22"/>
                <w:szCs w:val="22"/>
                <w:lang w:val="it-IT" w:bidi="ar-SA"/>
              </w:rPr>
              <w:t>Pianificata</w:t>
            </w:r>
          </w:p>
        </w:tc>
        <w:tc>
          <w:tcPr>
            <w:tcW w:w="2159" w:type="dxa"/>
            <w:tcBorders/>
          </w:tcPr>
          <w:p>
            <w:pPr>
              <w:pStyle w:val="Normal"/>
              <w:widowControl w:val="false"/>
              <w:suppressAutoHyphens w:val="true"/>
              <w:spacing w:before="0" w:after="0"/>
              <w:jc w:val="center"/>
              <w:rPr>
                <w:rFonts w:ascii="Times New Roman" w:hAnsi="Times New Roman" w:cs="Calibri"/>
                <w:b/>
                <w:b/>
                <w:bCs/>
                <w:color w:val="000000"/>
                <w:kern w:val="0"/>
                <w:sz w:val="22"/>
                <w:szCs w:val="22"/>
                <w:lang w:val="it-IT" w:bidi="ar-SA"/>
              </w:rPr>
            </w:pPr>
            <w:r>
              <w:rPr>
                <w:rFonts w:cs="Calibri"/>
                <w:b/>
                <w:bCs/>
                <w:color w:val="000000"/>
                <w:kern w:val="0"/>
                <w:sz w:val="22"/>
                <w:szCs w:val="22"/>
                <w:lang w:val="it-IT" w:bidi="ar-SA"/>
              </w:rPr>
              <w:t>Attuata</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Codice di comportamento</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kern w:val="0"/>
                <w:sz w:val="22"/>
                <w:szCs w:val="22"/>
                <w:lang w:val="it-IT" w:bidi="ar-SA"/>
              </w:rPr>
            </w:pPr>
            <w:r>
              <w:rPr>
                <w:rFonts w:cs="Calibri"/>
                <w:kern w:val="0"/>
                <w:sz w:val="22"/>
                <w:szCs w:val="22"/>
                <w:lang w:val="it-IT" w:bidi="ar-SA"/>
              </w:rPr>
              <w:t>Si</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Rotazione ordinaria del personale</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In corso di redazione</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Rotazione straordinaria del personale</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In corso di redazione</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Inconferibilità - incompatibilità</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Incarichi extraistituzionali</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No</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Whistleblowing</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Formazione</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Trasparenza</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Svolgimento attività successiva cessazione lavoro – pantouflage</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Commissioni e conferimento incarichi in caso di condanna</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No</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Patti di integrità</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Si</w:t>
            </w:r>
          </w:p>
        </w:tc>
        <w:tc>
          <w:tcPr>
            <w:tcW w:w="2159" w:type="dxa"/>
            <w:tcBorders/>
          </w:tcPr>
          <w:p>
            <w:pPr>
              <w:pStyle w:val="Normal"/>
              <w:widowControl w:val="false"/>
              <w:suppressAutoHyphens w:val="true"/>
              <w:spacing w:before="0" w:after="0"/>
              <w:jc w:val="center"/>
              <w:rPr>
                <w:rFonts w:ascii="Times New Roman" w:hAnsi="Times New Roman" w:cs="Calibri"/>
                <w:kern w:val="0"/>
                <w:sz w:val="22"/>
                <w:szCs w:val="22"/>
                <w:lang w:val="it-IT" w:bidi="ar-SA"/>
              </w:rPr>
            </w:pPr>
            <w:r>
              <w:rPr>
                <w:rFonts w:cs="Calibri"/>
                <w:kern w:val="0"/>
                <w:sz w:val="22"/>
                <w:szCs w:val="22"/>
                <w:lang w:val="it-IT" w:bidi="ar-SA"/>
              </w:rPr>
              <w:t>Si</w:t>
            </w:r>
          </w:p>
        </w:tc>
      </w:tr>
      <w:tr>
        <w:trPr>
          <w:trHeight w:val="288" w:hRule="atLeast"/>
        </w:trPr>
        <w:tc>
          <w:tcPr>
            <w:tcW w:w="6180" w:type="dxa"/>
            <w:tcBorders/>
          </w:tcPr>
          <w:p>
            <w:pPr>
              <w:pStyle w:val="Normal"/>
              <w:widowControl w:val="false"/>
              <w:suppressAutoHyphens w:val="true"/>
              <w:spacing w:before="0" w:after="0"/>
              <w:jc w:val="left"/>
              <w:rPr>
                <w:rFonts w:ascii="Times New Roman" w:hAnsi="Times New Roman" w:cs="Calibri"/>
                <w:color w:val="000000"/>
                <w:kern w:val="0"/>
                <w:sz w:val="22"/>
                <w:szCs w:val="22"/>
                <w:lang w:val="it-IT" w:bidi="ar-SA"/>
              </w:rPr>
            </w:pPr>
            <w:r>
              <w:rPr>
                <w:rFonts w:cs="Calibri"/>
                <w:color w:val="000000"/>
                <w:kern w:val="0"/>
                <w:sz w:val="22"/>
                <w:szCs w:val="22"/>
                <w:lang w:val="it-IT" w:bidi="ar-SA"/>
              </w:rPr>
              <w:t xml:space="preserve">Rapporti con portatori di interessi particolari </w:t>
            </w:r>
          </w:p>
        </w:tc>
        <w:tc>
          <w:tcPr>
            <w:tcW w:w="1295" w:type="dxa"/>
            <w:tcBorders/>
          </w:tcPr>
          <w:p>
            <w:pPr>
              <w:pStyle w:val="Normal"/>
              <w:widowControl w:val="false"/>
              <w:suppressAutoHyphens w:val="true"/>
              <w:spacing w:before="0" w:after="0"/>
              <w:jc w:val="center"/>
              <w:rPr>
                <w:rFonts w:ascii="Times New Roman" w:hAnsi="Times New Roman" w:cs="Calibri"/>
                <w:color w:val="000000"/>
                <w:kern w:val="0"/>
                <w:sz w:val="22"/>
                <w:szCs w:val="22"/>
                <w:lang w:val="it-IT" w:bidi="ar-SA"/>
              </w:rPr>
            </w:pPr>
            <w:r>
              <w:rPr>
                <w:rFonts w:cs="Calibri"/>
                <w:color w:val="000000"/>
                <w:kern w:val="0"/>
                <w:sz w:val="22"/>
                <w:szCs w:val="22"/>
                <w:lang w:val="it-IT" w:bidi="ar-SA"/>
              </w:rPr>
              <w:t>No</w:t>
            </w:r>
          </w:p>
        </w:tc>
        <w:tc>
          <w:tcPr>
            <w:tcW w:w="2159" w:type="dxa"/>
            <w:tcBorders/>
          </w:tcPr>
          <w:p>
            <w:pPr>
              <w:pStyle w:val="Normal"/>
              <w:widowControl w:val="false"/>
              <w:suppressAutoHyphens w:val="true"/>
              <w:spacing w:before="0" w:after="0"/>
              <w:jc w:val="center"/>
              <w:rPr>
                <w:rFonts w:ascii="Times New Roman" w:hAnsi="Times New Roman" w:cs="Calibri"/>
                <w:kern w:val="0"/>
                <w:sz w:val="22"/>
                <w:szCs w:val="22"/>
                <w:lang w:val="it-IT" w:bidi="ar-SA"/>
              </w:rPr>
            </w:pPr>
            <w:r>
              <w:rPr>
                <w:rFonts w:cs="Calibri"/>
                <w:kern w:val="0"/>
                <w:sz w:val="22"/>
                <w:szCs w:val="22"/>
                <w:lang w:val="it-IT" w:bidi="ar-SA"/>
              </w:rPr>
              <w:t>No</w:t>
            </w:r>
          </w:p>
        </w:tc>
      </w:tr>
    </w:tbl>
    <w:p>
      <w:pPr>
        <w:pStyle w:val="Normal"/>
        <w:rPr/>
      </w:pPr>
      <w:r>
        <w:rPr/>
      </w:r>
    </w:p>
    <w:p>
      <w:pPr>
        <w:pStyle w:val="Normal"/>
        <w:jc w:val="both"/>
        <w:rPr/>
      </w:pPr>
      <w:r>
        <w:rPr/>
        <w:t>Per quanto riguarda le misure non attuate si evidenzia che sono state avviate le attività e, dunque, sono attualmente in corso di adozione.</w:t>
      </w:r>
    </w:p>
    <w:p>
      <w:pPr>
        <w:pStyle w:val="Normal"/>
        <w:jc w:val="both"/>
        <w:rPr/>
      </w:pPr>
      <w:r>
        <w:rPr/>
        <w:t>Il monitoraggio per l'anno 2022 è in corso di completamento.</w:t>
      </w:r>
    </w:p>
    <w:p>
      <w:pPr>
        <w:pStyle w:val="Normal"/>
        <w:jc w:val="both"/>
        <w:rPr/>
      </w:pPr>
      <w:r>
        <w:rPr/>
      </w:r>
    </w:p>
    <w:p>
      <w:pPr>
        <w:pStyle w:val="Titolo2"/>
        <w:rPr/>
      </w:pPr>
      <w:bookmarkStart w:id="9" w:name="__RefHeading___Toc3265_191163200"/>
      <w:bookmarkStart w:id="10" w:name="_Toc88657649"/>
      <w:bookmarkEnd w:id="9"/>
      <w:r>
        <w:rPr/>
        <w:t>Codice di comportamento</w:t>
      </w:r>
      <w:bookmarkEnd w:id="10"/>
      <w:r>
        <w:rPr/>
        <w:t xml:space="preserve"> </w:t>
      </w:r>
    </w:p>
    <w:p>
      <w:pPr>
        <w:pStyle w:val="Normal"/>
        <w:jc w:val="both"/>
        <w:rPr/>
      </w:pPr>
      <w:r>
        <w:rPr/>
      </w:r>
    </w:p>
    <w:p>
      <w:pPr>
        <w:pStyle w:val="Normal"/>
        <w:jc w:val="both"/>
        <w:rPr/>
      </w:pPr>
      <w:r>
        <w:rPr/>
        <w:t>Il codice di comportamento è stato adottato nel 2016 e contiene disposizioni ulteriori rispetto a quelle del D.P.R. 62/2013 che riguardano le caratteristiche specifiche dell’Azienda.</w:t>
      </w:r>
    </w:p>
    <w:p>
      <w:pPr>
        <w:pStyle w:val="Normal"/>
        <w:jc w:val="both"/>
        <w:rPr/>
      </w:pPr>
      <w:r>
        <w:rPr/>
        <w:t>Rispetto al totale degli atti di incarico e dei contratti, sono stati adeguati alle previsioni del Codice di Comportamento il  99 % degli atti.</w:t>
      </w:r>
    </w:p>
    <w:p>
      <w:pPr>
        <w:pStyle w:val="Normal"/>
        <w:jc w:val="both"/>
        <w:rPr/>
      </w:pPr>
      <w:r>
        <w:rPr/>
        <w:t>Sono stati effettuati controlli e verifiche sull'attuazione del Codice di Comportamento.</w:t>
      </w:r>
    </w:p>
    <w:p>
      <w:pPr>
        <w:pStyle w:val="Normal"/>
        <w:jc w:val="both"/>
        <w:rPr/>
      </w:pPr>
      <w:r>
        <w:rPr/>
        <w:t>Non è stata inserita nel Codice di Comportamento un’apposita procedura di rilevazione delle situazioni di conflitto di interessi, perché l'Azienda ha adottato un apposito regolamento con delibera n° 195 del 30/01/2019.</w:t>
      </w:r>
    </w:p>
    <w:p>
      <w:pPr>
        <w:pStyle w:val="Normal"/>
        <w:jc w:val="both"/>
        <w:rPr>
          <w:iCs/>
        </w:rPr>
      </w:pPr>
      <w:r>
        <w:rPr>
          <w:iCs/>
        </w:rPr>
        <mc:AlternateContent>
          <mc:Choice Requires="wps">
            <w:drawing>
              <wp:anchor behindDoc="0" distT="30480" distB="0" distL="145415" distR="114300" simplePos="0" locked="0" layoutInCell="0" allowOverlap="1" relativeHeight="8" wp14:anchorId="5D9455AE">
                <wp:simplePos x="0" y="0"/>
                <wp:positionH relativeFrom="column">
                  <wp:posOffset>14605</wp:posOffset>
                </wp:positionH>
                <wp:positionV relativeFrom="paragraph">
                  <wp:posOffset>150495</wp:posOffset>
                </wp:positionV>
                <wp:extent cx="6107430" cy="635000"/>
                <wp:effectExtent l="0" t="0" r="22860" b="26670"/>
                <wp:wrapTopAndBottom/>
                <wp:docPr id="1" name="Casella di testo 1"/>
                <a:graphic xmlns:a="http://schemas.openxmlformats.org/drawingml/2006/main">
                  <a:graphicData uri="http://schemas.microsoft.com/office/word/2010/wordprocessingShape">
                    <wps:wsp>
                      <wps:cNvSpPr/>
                      <wps:spPr>
                        <a:xfrm>
                          <a:off x="0" y="0"/>
                          <a:ext cx="6106680" cy="63432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jc w:val="both"/>
                              <w:rPr>
                                <w:color w:val="000000"/>
                              </w:rPr>
                            </w:pPr>
                            <w:r>
                              <w:rPr>
                                <w:color w:val="000000"/>
                              </w:rPr>
                              <w:t>Il Codice di comportamento adottato nel 2016 è stato aggiornato con delibera n. 16 del 11/01/2023.</w:t>
                            </w:r>
                          </w:p>
                        </w:txbxContent>
                      </wps:txbx>
                      <wps:bodyPr anchor="t">
                        <a:prstTxWarp prst="textNoShape"/>
                        <a:noAutofit/>
                      </wps:bodyPr>
                    </wps:wsp>
                  </a:graphicData>
                </a:graphic>
              </wp:anchor>
            </w:drawing>
          </mc:Choice>
          <mc:Fallback>
            <w:pict>
              <v:rect id="shape_0" ID="Casella di testo 1" path="m0,0l-2147483645,0l-2147483645,-2147483646l0,-2147483646xe" fillcolor="#deebf7" stroked="t" o:allowincell="f" style="position:absolute;margin-left:1.15pt;margin-top:11.85pt;width:480.8pt;height:49.9pt;mso-wrap-style:square;v-text-anchor:top" wp14:anchorId="5D9455AE">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jc w:val="both"/>
                        <w:rPr>
                          <w:color w:val="000000"/>
                        </w:rPr>
                      </w:pPr>
                      <w:r>
                        <w:rPr>
                          <w:color w:val="000000"/>
                        </w:rPr>
                        <w:t>Il Codice di comportamento adottato nel 2016 è stato aggiornato con delibera n. 16 del 11/01/2023.</w:t>
                      </w:r>
                    </w:p>
                  </w:txbxContent>
                </v:textbox>
                <w10:wrap type="topAndBottom"/>
              </v:rect>
            </w:pict>
          </mc:Fallback>
        </mc:AlternateContent>
      </w:r>
    </w:p>
    <w:p>
      <w:pPr>
        <w:pStyle w:val="Titolo2"/>
        <w:rPr/>
      </w:pPr>
      <w:bookmarkStart w:id="11" w:name="__RefHeading___Toc3267_191163200"/>
      <w:bookmarkStart w:id="12" w:name="_Toc88657650"/>
      <w:bookmarkEnd w:id="11"/>
      <w:r>
        <w:rPr/>
        <w:t>Rotazione del personale</w:t>
      </w:r>
      <w:bookmarkEnd w:id="12"/>
      <w:r>
        <w:rPr/>
        <w:t xml:space="preserve"> </w:t>
      </w:r>
    </w:p>
    <w:p>
      <w:pPr>
        <w:pStyle w:val="Normal"/>
        <w:rPr/>
      </w:pPr>
      <w:r>
        <w:rPr/>
      </w:r>
    </w:p>
    <w:p>
      <w:pPr>
        <w:pStyle w:val="Titolo3"/>
        <w:rPr/>
      </w:pPr>
      <w:bookmarkStart w:id="13" w:name="__RefHeading___Toc3269_191163200"/>
      <w:bookmarkStart w:id="14" w:name="_Toc88657651"/>
      <w:bookmarkEnd w:id="13"/>
      <w:r>
        <w:rPr/>
        <w:t>Rotazione Ordinaria</w:t>
      </w:r>
      <w:bookmarkEnd w:id="14"/>
    </w:p>
    <w:p>
      <w:pPr>
        <w:pStyle w:val="Normal"/>
        <w:rPr/>
      </w:pPr>
      <w:r>
        <w:rPr/>
      </w:r>
    </w:p>
    <w:p>
      <w:pPr>
        <w:pStyle w:val="Normal"/>
        <w:jc w:val="both"/>
        <w:rPr>
          <w:u w:val="single"/>
        </w:rPr>
      </w:pPr>
      <w:r>
        <w:rPr/>
        <w:t>La misura della rotazione ordinaria del personale è stata programmata nel PTPCT e nella sezione Anticorruzione e Trasparenza del PIAO ed è in corso di redazione un regolamento per la sua attuazione.</w:t>
      </w:r>
    </w:p>
    <w:p>
      <w:pPr>
        <w:pStyle w:val="Normal"/>
        <w:jc w:val="both"/>
        <w:rPr>
          <w:u w:val="single"/>
        </w:rPr>
      </w:pPr>
      <w:r>
        <w:rPr/>
        <w:t>L’atto che sarà adottato, individua almeno i seguenti criteri di rotazione ordinaria del personale:</w:t>
      </w:r>
    </w:p>
    <w:p>
      <w:pPr>
        <w:pStyle w:val="Normal"/>
        <w:jc w:val="both"/>
        <w:rPr>
          <w:u w:val="single"/>
        </w:rPr>
      </w:pPr>
      <w:r>
        <w:rPr/>
        <w:t>- uffici sottoposti a rotazione;</w:t>
      </w:r>
    </w:p>
    <w:p>
      <w:pPr>
        <w:pStyle w:val="Normal"/>
        <w:jc w:val="both"/>
        <w:rPr>
          <w:u w:val="single"/>
        </w:rPr>
      </w:pPr>
      <w:r>
        <w:rPr/>
        <w:t>- periodicità della rotazione;</w:t>
      </w:r>
    </w:p>
    <w:p>
      <w:pPr>
        <w:pStyle w:val="Normal"/>
        <w:jc w:val="both"/>
        <w:rPr>
          <w:u w:val="single"/>
        </w:rPr>
      </w:pPr>
      <w:r>
        <w:rPr/>
        <w:t>- caratteristiche della rotazione.</w:t>
      </w:r>
    </w:p>
    <w:p>
      <w:pPr>
        <w:pStyle w:val="Normal"/>
        <w:jc w:val="both"/>
        <w:rPr>
          <w:u w:val="single"/>
        </w:rPr>
      </w:pPr>
      <w:r>
        <w:rPr/>
        <w:t>La rotazione ordinaria del personale è stata realizzata nell'anno di riferimento del PTPCT e della sezione Anticorruzione e Trasparenza del PIAO in esame e sono state sottoposte a rotazione le seguenti unità di personale:</w:t>
      </w:r>
    </w:p>
    <w:p>
      <w:pPr>
        <w:pStyle w:val="Normal"/>
        <w:jc w:val="both"/>
        <w:rPr>
          <w:u w:val="single"/>
        </w:rPr>
      </w:pPr>
      <w:r>
        <w:rPr/>
        <w:t>- 77 dirigenti;</w:t>
      </w:r>
    </w:p>
    <w:p>
      <w:pPr>
        <w:pStyle w:val="Normal"/>
        <w:jc w:val="both"/>
        <w:rPr>
          <w:u w:val="single"/>
        </w:rPr>
      </w:pPr>
      <w:r>
        <w:rPr/>
        <w:t>- 0 non dirigenti.</w:t>
      </w:r>
    </w:p>
    <w:p>
      <w:pPr>
        <w:pStyle w:val="Normal"/>
        <w:jc w:val="both"/>
        <w:rPr>
          <w:u w:val="single"/>
        </w:rPr>
      </w:pPr>
      <w:r>
        <w:rPr/>
        <w:t xml:space="preserve">Il personale che è stato oggetto di rotazione ricopriva da non più di 3 anni la posizione da cui è stato spostato. </w:t>
        <w:br/>
        <w:t>Nell'anno di riferimento del PTPCT e della sezione Anticorruzione e Trasparenza del PIAO in esame, l’Azienda è stata interessata da un processo di riorganizzazione.</w:t>
      </w:r>
    </w:p>
    <w:p>
      <w:pPr>
        <w:pStyle w:val="Normal"/>
        <w:rPr/>
      </w:pPr>
      <w:r>
        <w:rPr/>
      </w:r>
    </w:p>
    <w:p>
      <w:pPr>
        <w:pStyle w:val="Titolo3"/>
        <w:rPr/>
      </w:pPr>
      <w:bookmarkStart w:id="15" w:name="__RefHeading___Toc3271_191163200"/>
      <w:bookmarkStart w:id="16" w:name="_Toc88657652"/>
      <w:bookmarkEnd w:id="15"/>
      <w:r>
        <w:rPr/>
        <w:t>Rotazione Straordinaria</w:t>
      </w:r>
      <w:bookmarkEnd w:id="16"/>
    </w:p>
    <w:p>
      <w:pPr>
        <w:pStyle w:val="Normal"/>
        <w:rPr/>
      </w:pPr>
      <w:r>
        <w:rPr/>
      </w:r>
    </w:p>
    <w:p>
      <w:pPr>
        <w:pStyle w:val="Normal"/>
        <w:jc w:val="both"/>
        <w:rPr/>
      </w:pPr>
      <w:r>
        <w:rPr/>
        <w:t>È in corso di redazione un regolamento con il quale l’Azienda fornirà indicazioni in merito alle modalità organizzative più idonee a garantire la tempestiva adozione della rotazione straordinaria del personale nei casi di avvio di procedimenti penali o disciplinari per le condotte di natura corruttiva.</w:t>
      </w:r>
    </w:p>
    <w:p>
      <w:pPr>
        <w:pStyle w:val="Normal"/>
        <w:rPr/>
      </w:pPr>
      <w:r>
        <w:rPr/>
        <w:t>La rotazione straordinaria non si è resa necessaria per la mancanza dei necessari presupposti.</w:t>
      </w:r>
    </w:p>
    <w:p>
      <w:pPr>
        <w:pStyle w:val="Normal"/>
        <w:rPr/>
      </w:pPr>
      <w:r>
        <w:rPr/>
      </w:r>
    </w:p>
    <w:p>
      <w:pPr>
        <w:pStyle w:val="Titolo3"/>
        <w:rPr/>
      </w:pPr>
      <w:bookmarkStart w:id="17" w:name="__RefHeading___Toc3273_191163200"/>
      <w:bookmarkStart w:id="18" w:name="_Toc88657653"/>
      <w:bookmarkEnd w:id="17"/>
      <w:r>
        <w:rPr/>
        <w:t>Trasferimento d’ufficio</w:t>
      </w:r>
      <w:bookmarkEnd w:id="18"/>
    </w:p>
    <w:p>
      <w:pPr>
        <w:pStyle w:val="Normal"/>
        <w:rPr/>
      </w:pPr>
      <w:r>
        <w:rPr/>
      </w:r>
    </w:p>
    <w:p>
      <w:pPr>
        <w:pStyle w:val="Normal"/>
        <w:jc w:val="both"/>
        <w:rPr/>
      </w:pPr>
      <w:r>
        <w:rPr/>
        <w:t>In assenza di rinvii a giudizio per i delitti previsti dall'art. 3, comma 1, della L. n. 97/2001, non si è reso necessario adottare attribuzioni di incarichi differenti, trasferimenti ad uffici diversi, trasferimenti di sede.</w:t>
      </w:r>
    </w:p>
    <w:p>
      <w:pPr>
        <w:pStyle w:val="Titolo2"/>
        <w:rPr/>
      </w:pPr>
      <w:bookmarkStart w:id="19" w:name="__RefHeading___Toc3275_191163200"/>
      <w:bookmarkStart w:id="20" w:name="_Toc88657654"/>
      <w:bookmarkEnd w:id="19"/>
      <w:r>
        <w:rPr/>
        <w:t>Misure in materia di conflitto di interessi</w:t>
      </w:r>
      <w:bookmarkEnd w:id="20"/>
      <w:r>
        <w:rPr/>
        <w:t xml:space="preserve"> </w:t>
      </w:r>
    </w:p>
    <w:p>
      <w:pPr>
        <w:pStyle w:val="Normal"/>
        <w:jc w:val="both"/>
        <w:rPr/>
      </w:pPr>
      <w:r>
        <w:rPr/>
        <w:br/>
        <w:t>Pur essendo state programmate nel PTPCT e nella sezione Anticorruzione e Trasparenza del PIAO di riferimento le misure in materia di conferimento e autorizzazione  (ex art. 53, co. 7 e 8, d.lgs. 165/2001)  degli incarichi ai dipendenti, il relativo regolamento non è stato ancora adottato ma sono state avviate le attività e l’atto è in corso di adozione.</w:t>
      </w:r>
    </w:p>
    <w:p>
      <w:pPr>
        <w:pStyle w:val="Normal"/>
        <w:jc w:val="both"/>
        <w:rPr/>
      </w:pPr>
      <w:r>
        <w:rPr/>
        <w:t>In merito alle misure di inconferibilità e incompatibilità per gli incarichi amministrativi di vertice, dirigenziali e le altre cariche specificate nel D.lgs. 39/2013, nel PTPCT e nella sezione Anticorruzione e Trasparenza del PIAO sono esplicitati i criteri per l'attribuzione degli incarichi e la verifica tempestiva della insussistenza di cause ostative.</w:t>
      </w:r>
    </w:p>
    <w:p>
      <w:pPr>
        <w:pStyle w:val="Normal"/>
        <w:jc w:val="both"/>
        <w:rPr/>
      </w:pPr>
      <w:r>
        <w:rPr/>
        <w:br/>
      </w:r>
      <w:r>
        <w:rPr>
          <w:b/>
          <w:bCs/>
        </w:rPr>
        <w:t>INCONFERIBILITÀ:</w:t>
      </w:r>
      <w:r>
        <w:rPr/>
        <w:t xml:space="preserve"> </w:t>
        <w:br/>
        <w:t>Nell'anno di riferimento del PTPCT e della sezione Anticorruzione e Trasparenza del PIAO in esame, sono pervenute 4 dichiarazioni rese dagli interessati sull'insussistenza di cause di inconferibilità.</w:t>
        <w:br/>
        <w:t>Sulla veridicità delle suddette dichiarazioni non sono state effettuate verifiche.</w:t>
      </w:r>
    </w:p>
    <w:p>
      <w:pPr>
        <w:pStyle w:val="Normal"/>
        <w:jc w:val="both"/>
        <w:rPr/>
      </w:pPr>
      <w:r>
        <w:rPr/>
        <w:br/>
      </w:r>
      <w:r>
        <w:rPr>
          <w:b/>
          <w:bCs/>
        </w:rPr>
        <w:t>INCOMPATIBILITÀ:</w:t>
      </w:r>
      <w:r>
        <w:rPr/>
        <w:t xml:space="preserve"> </w:t>
        <w:br/>
        <w:t>Nell'anno di riferimento del PTPCT e della sezione Anticorruzione e Trasparenza del PIAO in esame, sono pervenute 4 dichiarazioni rese dagli interessati sull'insussistenza di cause di incompatibilità.</w:t>
        <w:br/>
        <w:t>Sulla veridicità delle suddette dichiarazioni non sono state effettuate verifiche.</w:t>
      </w:r>
    </w:p>
    <w:p>
      <w:pPr>
        <w:pStyle w:val="Normal"/>
        <w:jc w:val="both"/>
        <w:rPr/>
      </w:pPr>
      <w:r>
        <w:rPr/>
        <w:br/>
        <w:t>Nel PTPCT e nella sezione Anticorruzione e Trasparenza del PIAO, sulle misure di inconferibilità ed incompatibilità per incarichi dirigenziali ai sensi del D.lgs. 39/2013, non sono esplicitate le direttive per effettuare controlli sui precedenti penali perché non è stato necessario adottare un regolamento formale.</w:t>
      </w:r>
    </w:p>
    <w:p>
      <w:pPr>
        <w:pStyle w:val="Normal"/>
        <w:jc w:val="both"/>
        <w:rPr/>
      </w:pPr>
      <w:r>
        <w:rPr/>
        <w:t>Sono stati effettuati controlli sui precedenti penali nell’anno di riferimento del PTPCT e della sezione Anticorruzione e Trasparenza del PIAO. Nel dettaglio:</w:t>
      </w:r>
    </w:p>
    <w:p>
      <w:pPr>
        <w:pStyle w:val="Normal"/>
        <w:jc w:val="both"/>
        <w:rPr/>
      </w:pPr>
      <w:r>
        <w:rPr/>
        <w:t>- sono state effettuate 759 verifiche;</w:t>
      </w:r>
    </w:p>
    <w:p>
      <w:pPr>
        <w:pStyle w:val="Normal"/>
        <w:jc w:val="both"/>
        <w:rPr/>
      </w:pPr>
      <w:r>
        <w:rPr/>
        <w:t>- a seguito dei controlli effettuati, sono state accertate 5 violazioni.</w:t>
      </w:r>
    </w:p>
    <w:p>
      <w:pPr>
        <w:pStyle w:val="Normal"/>
        <w:jc w:val="both"/>
        <w:rPr/>
      </w:pPr>
      <w:r>
        <w:rPr/>
        <w:br/>
      </w:r>
      <w:r>
        <w:rPr>
          <w:b/>
          <w:bCs/>
        </w:rPr>
        <w:t>SVOLGIMENTI INCARICHI EXTRA-ISTITUZIONALI:</w:t>
      </w:r>
    </w:p>
    <w:p>
      <w:pPr>
        <w:pStyle w:val="Normal"/>
        <w:jc w:val="both"/>
        <w:rPr/>
      </w:pPr>
      <w:r>
        <w:rPr/>
        <w:t>Nell'anno di riferimento del PTPCT e della sezione Anticorruzione e Trasparenza del PIAO in esame, non sono pervenute segnalazioni sullo svolgimento di incarichi extra-istituzionali non autorizzati.</w:t>
      </w:r>
    </w:p>
    <w:p>
      <w:pPr>
        <w:pStyle w:val="Normal"/>
        <w:jc w:val="both"/>
        <w:rPr/>
      </w:pPr>
      <w:r>
        <w:rPr/>
      </w:r>
    </w:p>
    <w:p>
      <w:pPr>
        <w:pStyle w:val="Normal"/>
        <w:jc w:val="both"/>
        <w:rPr/>
      </w:pPr>
      <w:r>
        <w:rPr/>
      </w:r>
    </w:p>
    <w:p>
      <w:pPr>
        <w:pStyle w:val="Titolo2"/>
        <w:rPr>
          <w:lang w:val="en-US"/>
        </w:rPr>
      </w:pPr>
      <w:bookmarkStart w:id="21" w:name="__RefHeading___Toc3277_191163200"/>
      <w:bookmarkStart w:id="22" w:name="_Toc88657655"/>
      <w:bookmarkEnd w:id="21"/>
      <w:r>
        <mc:AlternateContent>
          <mc:Choice Requires="wps">
            <w:drawing>
              <wp:anchor behindDoc="0" distT="30480" distB="0" distL="145415" distR="114300" simplePos="0" locked="0" layoutInCell="0" allowOverlap="1" relativeHeight="10" wp14:anchorId="5D9455AE">
                <wp:simplePos x="0" y="0"/>
                <wp:positionH relativeFrom="column">
                  <wp:posOffset>14605</wp:posOffset>
                </wp:positionH>
                <wp:positionV relativeFrom="paragraph">
                  <wp:posOffset>-34290</wp:posOffset>
                </wp:positionV>
                <wp:extent cx="6107430" cy="1344930"/>
                <wp:effectExtent l="0" t="0" r="22860" b="26670"/>
                <wp:wrapTopAndBottom/>
                <wp:docPr id="3" name="Casella di testo 2"/>
                <a:graphic xmlns:a="http://schemas.openxmlformats.org/drawingml/2006/main">
                  <a:graphicData uri="http://schemas.microsoft.com/office/word/2010/wordprocessingShape">
                    <wps:wsp>
                      <wps:cNvSpPr/>
                      <wps:spPr>
                        <a:xfrm>
                          <a:off x="0" y="0"/>
                          <a:ext cx="6106680" cy="134424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jc w:val="both"/>
                              <w:rPr>
                                <w:color w:val="000000"/>
                              </w:rPr>
                            </w:pPr>
                            <w:r>
                              <w:rPr>
                                <w:color w:val="000000"/>
                              </w:rPr>
                              <w:t>Le dichiarazioni sulla insussistenza delle cause di inconferibilità e incompatibilità raccolte e pubblicate, riguardano il Direttore Generale, il Direttore Sanitario, il Direttore Amministrativo e il Direttore dei Servizi Sociali, in conformità a quanto previsto dal regolamento sulla gestione del conflitto di interessi adottato con delibera n.195 del 30/01/2019 in fase di aggiornamento.</w:t>
                            </w:r>
                          </w:p>
                          <w:p>
                            <w:pPr>
                              <w:pStyle w:val="Contenutocornice"/>
                              <w:jc w:val="both"/>
                              <w:rPr>
                                <w:color w:val="000000"/>
                              </w:rPr>
                            </w:pPr>
                            <w:r>
                              <w:rPr>
                                <w:color w:val="000000"/>
                              </w:rPr>
                              <w:t>E’ in fase di organizzazione la raccolta e la pubblicazione delle dichiarazioni relative alla Dirigenza PTA in conformità alla delibera ANAC 1146/2019.</w:t>
                            </w:r>
                          </w:p>
                        </w:txbxContent>
                      </wps:txbx>
                      <wps:bodyPr anchor="t">
                        <a:prstTxWarp prst="textNoShape"/>
                        <a:noAutofit/>
                      </wps:bodyPr>
                    </wps:wsp>
                  </a:graphicData>
                </a:graphic>
              </wp:anchor>
            </w:drawing>
          </mc:Choice>
          <mc:Fallback>
            <w:pict>
              <v:rect id="shape_0" ID="Casella di testo 2" path="m0,0l-2147483645,0l-2147483645,-2147483646l0,-2147483646xe" fillcolor="#deebf7" stroked="t" o:allowincell="f" style="position:absolute;margin-left:1.15pt;margin-top:-2.7pt;width:480.8pt;height:105.8pt;mso-wrap-style:square;v-text-anchor:top" wp14:anchorId="5D9455AE">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jc w:val="both"/>
                        <w:rPr>
                          <w:color w:val="000000"/>
                        </w:rPr>
                      </w:pPr>
                      <w:r>
                        <w:rPr>
                          <w:color w:val="000000"/>
                        </w:rPr>
                        <w:t>Le dichiarazioni sulla insussistenza delle cause di inconferibilità e incompatibilità raccolte e pubblicate, riguardano il Direttore Generale, il Direttore Sanitario, il Direttore Amministrativo e il Direttore dei Servizi Sociali, in conformità a quanto previsto dal regolamento sulla gestione del conflitto di interessi adottato con delibera n.195 del 30/01/2019 in fase di aggiornamento.</w:t>
                      </w:r>
                    </w:p>
                    <w:p>
                      <w:pPr>
                        <w:pStyle w:val="Contenutocornice"/>
                        <w:jc w:val="both"/>
                        <w:rPr>
                          <w:color w:val="000000"/>
                        </w:rPr>
                      </w:pPr>
                      <w:r>
                        <w:rPr>
                          <w:color w:val="000000"/>
                        </w:rPr>
                        <w:t>E’ in fase di organizzazione la raccolta e la pubblicazione delle dichiarazioni relative alla Dirigenza PTA in conformità alla delibera ANAC 1146/2019.</w:t>
                      </w:r>
                    </w:p>
                  </w:txbxContent>
                </v:textbox>
                <w10:wrap type="topAndBottom"/>
              </v:rect>
            </w:pict>
          </mc:Fallback>
        </mc:AlternateContent>
      </w:r>
      <w:r>
        <w:rPr>
          <w:lang w:val="en-US"/>
        </w:rPr>
        <w:t>Whistleblowing</w:t>
      </w:r>
      <w:bookmarkEnd w:id="22"/>
      <w:r>
        <w:rPr>
          <w:lang w:val="en-US"/>
        </w:rPr>
        <w:t xml:space="preserve"> </w:t>
      </w:r>
    </w:p>
    <w:p>
      <w:pPr>
        <w:pStyle w:val="Normal"/>
        <w:rPr>
          <w:lang w:val="en-US"/>
        </w:rPr>
      </w:pPr>
      <w:r>
        <w:rPr>
          <w:lang w:val="en-US"/>
        </w:rPr>
      </w:r>
    </w:p>
    <w:p>
      <w:pPr>
        <w:pStyle w:val="Normal"/>
        <w:jc w:val="both"/>
        <w:rPr>
          <w:lang w:val="en-US"/>
        </w:rPr>
      </w:pPr>
      <w:r>
        <w:rPr>
          <w:lang w:val="en-US"/>
        </w:rPr>
        <w:t>Nell’anno di riferimento del PTPCT e della sezione Anticorruzione e Trasparenza del PIAO, sono stati adottati gli interventi idonei a garantire l’applicazione della misura del “Whistleblowing”.</w:t>
      </w:r>
    </w:p>
    <w:p>
      <w:pPr>
        <w:pStyle w:val="Normal"/>
        <w:jc w:val="both"/>
        <w:rPr>
          <w:lang w:val="en-US"/>
        </w:rPr>
      </w:pPr>
      <w:r>
        <w:rPr>
          <w:lang w:val="en-US"/>
        </w:rPr>
        <w:t>Le segnalazioni possono essere inoltrate tramite:</w:t>
      </w:r>
    </w:p>
    <w:p>
      <w:pPr>
        <w:pStyle w:val="Normal"/>
        <w:jc w:val="both"/>
        <w:rPr>
          <w:lang w:val="en-US"/>
        </w:rPr>
      </w:pPr>
      <w:r>
        <w:rPr>
          <w:lang w:val="en-US"/>
        </w:rPr>
        <w:t>- Documento cartaceo;</w:t>
      </w:r>
    </w:p>
    <w:p>
      <w:pPr>
        <w:pStyle w:val="Normal"/>
        <w:jc w:val="both"/>
        <w:rPr>
          <w:lang w:val="en-US"/>
        </w:rPr>
      </w:pPr>
      <w:r>
        <w:rPr>
          <w:lang w:val="en-US"/>
        </w:rPr>
        <w:t>- Email.</w:t>
      </w:r>
    </w:p>
    <w:p>
      <w:pPr>
        <w:pStyle w:val="Normal"/>
        <w:jc w:val="both"/>
        <w:rPr>
          <w:lang w:val="en-US"/>
        </w:rPr>
      </w:pPr>
      <w:r>
        <w:rPr>
          <w:lang w:val="en-US"/>
        </w:rPr>
        <w:t>Possono effettuare le segnalazioni sia i dipendenti pubblici che gli altri soggetti assimilati a dipendenti pubblici.</w:t>
      </w:r>
    </w:p>
    <w:p>
      <w:pPr>
        <w:pStyle w:val="Normal"/>
        <w:jc w:val="both"/>
        <w:rPr>
          <w:lang w:val="en-US"/>
        </w:rPr>
      </w:pPr>
      <w:r>
        <w:rPr>
          <w:lang w:val="en-US"/>
        </w:rPr>
        <w:t>In merito al sistema di tutela del dipendente pubblico che segnala gli illeciti, si evidenzia che lo stesso è stato notevolmente migliorato con l'adozione del regolamento approvato con delibera n.1695 del 05/11/2021, pienamente conforme alle indicazioni contenute nelle linee guida in materia emanate con delibera ANAC 469/2021. Non è stato ancora possibile acquisire una piattaforma per la gestione delle segnalazioni conforme alle specifiche previste dal’Autorità.</w:t>
      </w:r>
    </w:p>
    <w:p>
      <w:pPr>
        <w:pStyle w:val="Normal"/>
        <w:jc w:val="both"/>
        <w:rPr>
          <w:lang w:val="en-US"/>
        </w:rPr>
      </w:pPr>
      <w:r>
        <w:rPr>
          <w:lang w:val="en-US"/>
        </w:rPr>
      </w:r>
    </w:p>
    <w:p>
      <w:pPr>
        <w:pStyle w:val="Titolo2"/>
        <w:rPr/>
      </w:pPr>
      <w:bookmarkStart w:id="23" w:name="__RefHeading___Toc3279_191163200"/>
      <w:bookmarkStart w:id="24" w:name="_Toc88657656"/>
      <w:bookmarkEnd w:id="23"/>
      <w:r>
        <w:rPr/>
        <w:t>Formazione</w:t>
      </w:r>
      <w:bookmarkEnd w:id="24"/>
      <w:r>
        <w:rPr/>
        <w:t xml:space="preserve"> </w:t>
      </w:r>
    </w:p>
    <w:p>
      <w:pPr>
        <w:pStyle w:val="Normal"/>
        <w:rPr/>
      </w:pPr>
      <w:r>
        <w:rPr/>
      </w:r>
    </w:p>
    <w:p>
      <w:pPr>
        <w:pStyle w:val="Normal"/>
        <w:jc w:val="both"/>
        <w:rPr/>
      </w:pPr>
      <w:r>
        <w:rPr/>
        <w:t>Nell’anno di riferimento del PTPCT e della sezione Anticorruzione e Trasparenza del PIAO, è stata erogata la formazione sui seguenti temi:</w:t>
      </w:r>
    </w:p>
    <w:p>
      <w:pPr>
        <w:pStyle w:val="Normal"/>
        <w:jc w:val="both"/>
        <w:rPr/>
      </w:pPr>
      <w:r>
        <w:rPr/>
        <w:t>- Etica e integrità del funzionario pubblico per un numero medio di ore 1;</w:t>
      </w:r>
    </w:p>
    <w:p>
      <w:pPr>
        <w:pStyle w:val="Normal"/>
        <w:jc w:val="both"/>
        <w:rPr/>
      </w:pPr>
      <w:r>
        <w:rPr/>
        <w:t>- Contenuti del Piano Triennale di Prevenzione della Corruzione e della Trasparenza per un numero medio di ore 2;</w:t>
      </w:r>
    </w:p>
    <w:p>
      <w:pPr>
        <w:pStyle w:val="Normal"/>
        <w:jc w:val="both"/>
        <w:rPr/>
      </w:pPr>
      <w:r>
        <w:rPr/>
        <w:t>- Modalità della messa in atto del processo di gestione del rischio per un numero medio di ore 1.</w:t>
      </w:r>
    </w:p>
    <w:p>
      <w:pPr>
        <w:pStyle w:val="Normal"/>
        <w:jc w:val="both"/>
        <w:rPr/>
      </w:pPr>
      <w:r>
        <w:rPr/>
        <w:t>La formazione è stata erogata tramite:</w:t>
      </w:r>
    </w:p>
    <w:p>
      <w:pPr>
        <w:pStyle w:val="Normal"/>
        <w:jc w:val="both"/>
        <w:rPr/>
      </w:pPr>
      <w:r>
        <w:rPr/>
        <w:t>- formazione frontale;</w:t>
      </w:r>
    </w:p>
    <w:p>
      <w:pPr>
        <w:pStyle w:val="Normal"/>
        <w:jc w:val="both"/>
        <w:rPr/>
      </w:pPr>
      <w:r>
        <w:rPr/>
        <w:t>- formazione a distanza.</w:t>
      </w:r>
    </w:p>
    <w:p>
      <w:pPr>
        <w:pStyle w:val="Normal"/>
        <w:jc w:val="both"/>
        <w:rPr/>
      </w:pPr>
      <w:r>
        <w:rPr/>
        <w:t>Per ogni corso di formazione erogato, sono stati somministrati ai partecipanti presenti dei questionari finalizzati a misurare il loro livello di gradimento.</w:t>
      </w:r>
    </w:p>
    <w:p>
      <w:pPr>
        <w:pStyle w:val="Normal"/>
        <w:jc w:val="both"/>
        <w:rPr/>
      </w:pPr>
      <w:r>
        <w:rPr/>
        <w:t>In particolare, i corsi di formazione successivi sono stati programmati in funzione dei feedback ottenuti.</w:t>
        <w:br/>
        <w:t>La formazione è stata erogata da soggetti interni.</w:t>
      </w:r>
    </w:p>
    <w:p>
      <w:pPr>
        <w:pStyle w:val="Normal"/>
        <w:jc w:val="both"/>
        <w:rPr/>
      </w:pPr>
      <w:r>
        <w:rPr/>
      </w:r>
    </w:p>
    <w:p>
      <w:pPr>
        <w:pStyle w:val="Normal"/>
        <w:jc w:val="both"/>
        <w:rPr/>
      </w:pPr>
      <w:r>
        <w:rPr/>
        <mc:AlternateContent>
          <mc:Choice Requires="wps">
            <w:drawing>
              <wp:anchor behindDoc="0" distT="30480" distB="0" distL="145415" distR="114300" simplePos="0" locked="0" layoutInCell="0" allowOverlap="1" relativeHeight="2" wp14:anchorId="5D9455AE">
                <wp:simplePos x="0" y="0"/>
                <wp:positionH relativeFrom="column">
                  <wp:posOffset>14605</wp:posOffset>
                </wp:positionH>
                <wp:positionV relativeFrom="paragraph">
                  <wp:posOffset>30480</wp:posOffset>
                </wp:positionV>
                <wp:extent cx="6107430" cy="817245"/>
                <wp:effectExtent l="0" t="0" r="22860" b="26670"/>
                <wp:wrapTopAndBottom/>
                <wp:docPr id="5" name="Casella di testo 30"/>
                <a:graphic xmlns:a="http://schemas.openxmlformats.org/drawingml/2006/main">
                  <a:graphicData uri="http://schemas.microsoft.com/office/word/2010/wordprocessingShape">
                    <wps:wsp>
                      <wps:cNvSpPr/>
                      <wps:spPr>
                        <a:xfrm>
                          <a:off x="0" y="0"/>
                          <a:ext cx="6106680" cy="8164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Non è stato possibile suddividere le ore di formazione per tipologia di personale.</w:t>
                            </w:r>
                            <w:r>
                              <w:br w:type="page"/>
                            </w:r>
                          </w:p>
                          <w:p>
                            <w:pPr>
                              <w:pStyle w:val="Contenutocornice"/>
                              <w:jc w:val="both"/>
                              <w:rPr/>
                            </w:pPr>
                            <w:r>
                              <w:rPr/>
                              <w:t>Il calcolo delle ore medie è approssimativo poiché i dati si riferiscono a tipologie di corsi differenti con durate differenti.</w:t>
                            </w:r>
                          </w:p>
                          <w:p>
                            <w:pPr>
                              <w:pStyle w:val="Contenutocornice"/>
                              <w:rPr/>
                            </w:pPr>
                            <w:r>
                              <w:rPr/>
                            </w:r>
                          </w:p>
                        </w:txbxContent>
                      </wps:txbx>
                      <wps:bodyPr anchor="t">
                        <a:prstTxWarp prst="textNoShape"/>
                        <a:noAutofit/>
                      </wps:bodyPr>
                    </wps:wsp>
                  </a:graphicData>
                </a:graphic>
              </wp:anchor>
            </w:drawing>
          </mc:Choice>
          <mc:Fallback>
            <w:pict>
              <v:rect id="shape_0" ID="Casella di testo 30" path="m0,0l-2147483645,0l-2147483645,-2147483646l0,-2147483646xe" fillcolor="#deebf7" stroked="t" o:allowincell="f" style="position:absolute;margin-left:1.15pt;margin-top:2.4pt;width:480.8pt;height:64.25pt;mso-wrap-style:square;v-text-anchor:top" wp14:anchorId="5D9455AE">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Non è stato possibile suddividere le ore di formazione per tipologia di personale.</w:t>
                      </w:r>
                      <w:r>
                        <w:br w:type="page"/>
                      </w:r>
                    </w:p>
                    <w:p>
                      <w:pPr>
                        <w:pStyle w:val="Contenutocornice"/>
                        <w:jc w:val="both"/>
                        <w:rPr/>
                      </w:pPr>
                      <w:r>
                        <w:rPr/>
                        <w:t>Il calcolo delle ore medie è approssimativo poiché i dati si riferiscono a tipologie di corsi differenti con durate differenti.</w:t>
                      </w:r>
                    </w:p>
                    <w:p>
                      <w:pPr>
                        <w:pStyle w:val="Contenutocornice"/>
                        <w:rPr/>
                      </w:pPr>
                      <w:r>
                        <w:rPr/>
                      </w:r>
                    </w:p>
                  </w:txbxContent>
                </v:textbox>
                <w10:wrap type="topAndBottom"/>
              </v:rect>
            </w:pict>
          </mc:Fallback>
        </mc:AlternateContent>
      </w:r>
    </w:p>
    <w:p>
      <w:pPr>
        <w:pStyle w:val="Titolo2"/>
        <w:rPr/>
      </w:pPr>
      <w:bookmarkStart w:id="25" w:name="__RefHeading___Toc3281_191163200"/>
      <w:bookmarkStart w:id="26" w:name="_Toc88657657"/>
      <w:bookmarkEnd w:id="25"/>
      <w:r>
        <w:rPr/>
        <w:t>Trasparenza</w:t>
      </w:r>
      <w:bookmarkEnd w:id="26"/>
    </w:p>
    <w:p>
      <w:pPr>
        <w:pStyle w:val="Normal"/>
        <w:rPr/>
      </w:pPr>
      <w:r>
        <w:rPr/>
      </w:r>
    </w:p>
    <w:p>
      <w:pPr>
        <w:pStyle w:val="Normal"/>
        <w:jc w:val="both"/>
        <w:rPr/>
      </w:pPr>
      <w:r>
        <w:rPr/>
        <w:t>Nell’anno di riferimento del PTPCT e della sezione Anticorruzione e Trasparenza del PIAO in esame, sono stati svolti monitoraggi sulla pubblicazione dei dati con periodicità semestrale.</w:t>
      </w:r>
    </w:p>
    <w:p>
      <w:pPr>
        <w:pStyle w:val="Normal"/>
        <w:jc w:val="both"/>
        <w:rPr/>
      </w:pPr>
      <w:r>
        <w:rPr/>
        <w:t>I monitoraggi hanno evidenziato irregolarità nella pubblicazione dei dati relativamente alle seguenti macro-famiglie:</w:t>
      </w:r>
    </w:p>
    <w:p>
      <w:pPr>
        <w:pStyle w:val="Normal"/>
        <w:jc w:val="both"/>
        <w:rPr/>
      </w:pPr>
      <w:r>
        <w:rPr/>
        <w:t>- Personale;</w:t>
      </w:r>
    </w:p>
    <w:p>
      <w:pPr>
        <w:pStyle w:val="Normal"/>
        <w:jc w:val="both"/>
        <w:rPr/>
      </w:pPr>
      <w:r>
        <w:rPr/>
        <w:t>- Altri contenuti.</w:t>
      </w:r>
    </w:p>
    <w:p>
      <w:pPr>
        <w:pStyle w:val="Normal"/>
        <w:jc w:val="both"/>
        <w:rPr/>
      </w:pPr>
      <w:r>
        <w:rPr/>
        <w:t>L'Azienda ha solo in parte realizzato l'informatizzazione del flusso per alimentare la pubblicazione dei dati nella sezione “Amministrazione trasparente”.</w:t>
      </w:r>
    </w:p>
    <w:p>
      <w:pPr>
        <w:pStyle w:val="Normal"/>
        <w:jc w:val="both"/>
        <w:rPr/>
      </w:pPr>
      <w:r>
        <w:rPr/>
        <w:t>Il sito istituzionale, relativamente alla sezione "Amministrazione trasparente", non traccia il numero delle visite.</w:t>
      </w:r>
    </w:p>
    <w:p>
      <w:pPr>
        <w:pStyle w:val="Normal"/>
        <w:jc w:val="both"/>
        <w:rPr/>
      </w:pPr>
      <w:r>
        <w:rPr/>
        <w:t>La procedura per la gestione delle richieste di accesso civico “semplice” è stata adottata e pubblicata sul sito istituzionale.</w:t>
      </w:r>
    </w:p>
    <w:p>
      <w:pPr>
        <w:pStyle w:val="Normal"/>
        <w:jc w:val="both"/>
        <w:rPr/>
      </w:pPr>
      <w:r>
        <w:rPr/>
        <w:t>Nell’anno di riferimento del PTPCT e della sezione Anticorruzione e Trasparenza del PIAO, sono pervenute 7 richieste di accesso civico “semplice”.</w:t>
      </w:r>
    </w:p>
    <w:p>
      <w:pPr>
        <w:pStyle w:val="Normal"/>
        <w:jc w:val="both"/>
        <w:rPr/>
      </w:pPr>
      <w:r>
        <w:rPr/>
        <w:t>La procedura per la gestione delle richieste di accesso civico “generalizzato” è stata adottata e pubblicata sul sito istituzionale.</w:t>
      </w:r>
    </w:p>
    <w:p>
      <w:pPr>
        <w:pStyle w:val="Normal"/>
        <w:jc w:val="both"/>
        <w:rPr/>
      </w:pPr>
      <w:r>
        <w:rPr/>
        <w:t>Nell’anno di riferimento del PTPCT e della sezione Anticorruzione e Trasparenza del PIAO sono pervenute:</w:t>
      </w:r>
    </w:p>
    <w:p>
      <w:pPr>
        <w:pStyle w:val="Normal"/>
        <w:jc w:val="both"/>
        <w:rPr/>
      </w:pPr>
      <w:r>
        <w:rPr/>
        <w:t>- 36 richieste con “informazione fornita all'utente”;</w:t>
      </w:r>
    </w:p>
    <w:p>
      <w:pPr>
        <w:pStyle w:val="Normal"/>
        <w:jc w:val="both"/>
        <w:rPr/>
      </w:pPr>
      <w:r>
        <w:rPr/>
        <w:t>- 4 richieste con “informazione non fornita all'utente”.</w:t>
      </w:r>
    </w:p>
    <w:p>
      <w:pPr>
        <w:pStyle w:val="Normal"/>
        <w:jc w:val="both"/>
        <w:rPr/>
      </w:pPr>
      <w:r>
        <w:rPr/>
        <w:t>Con riferimento alle richieste per le quali l’informazione non è stata fornita all'utente, si riportano diseguito le casistiche:</w:t>
      </w:r>
    </w:p>
    <w:p>
      <w:pPr>
        <w:pStyle w:val="Normal"/>
        <w:jc w:val="both"/>
        <w:rPr/>
      </w:pPr>
      <w:r>
        <w:rPr/>
        <w:t>- Controlli ambientali;</w:t>
      </w:r>
    </w:p>
    <w:p>
      <w:pPr>
        <w:pStyle w:val="Normal"/>
        <w:jc w:val="both"/>
        <w:rPr/>
      </w:pPr>
      <w:r>
        <w:rPr/>
        <w:t>- Payback dispositivi medici;</w:t>
      </w:r>
    </w:p>
    <w:p>
      <w:pPr>
        <w:pStyle w:val="Normal"/>
        <w:jc w:val="both"/>
        <w:rPr/>
      </w:pPr>
      <w:r>
        <w:rPr/>
        <w:t>- Quantità di ore di lavoro svolte nei pronto soccorso dell'Azienda.</w:t>
      </w:r>
    </w:p>
    <w:p>
      <w:pPr>
        <w:pStyle w:val="Normal"/>
        <w:jc w:val="both"/>
        <w:rPr/>
      </w:pPr>
      <w:r>
        <w:rPr/>
        <w:t>È stato istituito il registro degli accessi ed è stata rispettata l'indicazione che prevede di riportare nel registro l'esito delle istanze.</w:t>
      </w:r>
    </w:p>
    <w:p>
      <w:pPr>
        <w:pStyle w:val="Normal"/>
        <w:jc w:val="both"/>
        <w:rPr/>
      </w:pPr>
      <w:r>
        <w:rPr/>
        <w:t>In merito al livello di adempimento degli obblighi di trasparenza, si esprime un giudizio generalmente buono, salvo poche inadempienze nella pubblicazione di alcuni dati relativi al Personale e a Altri contenuti, che tuttavia sono in corso di risoluzione da parte delle Strutture titolari degli obblighi. La non completa informatizzazione dei flussi di pubblicazione dei dati rallenta il processo.</w:t>
      </w:r>
    </w:p>
    <w:p>
      <w:pPr>
        <w:pStyle w:val="Normal"/>
        <w:rPr/>
      </w:pPr>
      <w:r>
        <w:rPr/>
      </w:r>
    </w:p>
    <w:p>
      <w:pPr>
        <w:pStyle w:val="Titolo2"/>
        <w:rPr/>
      </w:pPr>
      <w:bookmarkStart w:id="27" w:name="__RefHeading___Toc3283_191163200"/>
      <w:bookmarkStart w:id="28" w:name="_Toc88657658"/>
      <w:bookmarkEnd w:id="27"/>
      <w:r>
        <w:rPr/>
        <w:t>Pantouflage</w:t>
      </w:r>
      <w:bookmarkEnd w:id="28"/>
    </w:p>
    <w:p>
      <w:pPr>
        <w:pStyle w:val="Normal"/>
        <w:rPr/>
      </w:pPr>
      <w:r>
        <w:rPr/>
      </w:r>
    </w:p>
    <w:p>
      <w:pPr>
        <w:pStyle w:val="Normal"/>
        <w:rPr/>
      </w:pPr>
      <w:r>
        <w:rPr/>
        <w:t>La misura “Svolgimento di attività successiva alla cessazione del rapporto di lavoro” è stata attuata e sono state effettuate 221 verifiche dalle quali non sono emerse violazioni.</w:t>
      </w:r>
    </w:p>
    <w:p>
      <w:pPr>
        <w:pStyle w:val="Normal"/>
        <w:rPr/>
      </w:pPr>
      <w:r>
        <w:rPr/>
      </w:r>
    </w:p>
    <w:p>
      <w:pPr>
        <w:pStyle w:val="Normal"/>
        <w:rPr/>
      </w:pPr>
      <w:r>
        <w:rPr/>
        <mc:AlternateContent>
          <mc:Choice Requires="wps">
            <w:drawing>
              <wp:anchor behindDoc="0" distT="19050" distB="0" distL="132715" distR="114300" simplePos="0" locked="0" layoutInCell="0" allowOverlap="1" relativeHeight="6" wp14:anchorId="7EF299AF">
                <wp:simplePos x="0" y="0"/>
                <wp:positionH relativeFrom="column">
                  <wp:posOffset>-7620</wp:posOffset>
                </wp:positionH>
                <wp:positionV relativeFrom="paragraph">
                  <wp:posOffset>120015</wp:posOffset>
                </wp:positionV>
                <wp:extent cx="6122035" cy="852805"/>
                <wp:effectExtent l="0" t="0" r="22860" b="26670"/>
                <wp:wrapTopAndBottom/>
                <wp:docPr id="7" name="Casella di testo 11"/>
                <a:graphic xmlns:a="http://schemas.openxmlformats.org/drawingml/2006/main">
                  <a:graphicData uri="http://schemas.microsoft.com/office/word/2010/wordprocessingShape">
                    <wps:wsp>
                      <wps:cNvSpPr/>
                      <wps:spPr>
                        <a:xfrm>
                          <a:off x="0" y="0"/>
                          <a:ext cx="6121440" cy="85212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jc w:val="both"/>
                              <w:rPr>
                                <w:color w:val="000000"/>
                              </w:rPr>
                            </w:pPr>
                            <w:r>
                              <w:rPr>
                                <w:color w:val="000000"/>
                              </w:rPr>
                              <w:t>La misura non è ancora applicata in maniera omogenea in tutta l’Azienda. In seguito al previsto aggiornamento del regolamento sulla gestione del conflitto di interessi, adottato con delibera n.195 del 30/01/2019, saranno organizzati degli incontri per favorirne l’implementazione.</w:t>
                            </w:r>
                          </w:p>
                        </w:txbxContent>
                      </wps:txbx>
                      <wps:bodyPr anchor="t">
                        <a:prstTxWarp prst="textNoShape"/>
                        <a:noAutofit/>
                      </wps:bodyPr>
                    </wps:wsp>
                  </a:graphicData>
                </a:graphic>
              </wp:anchor>
            </w:drawing>
          </mc:Choice>
          <mc:Fallback>
            <w:pict>
              <v:rect id="shape_0" ID="Casella di testo 11" path="m0,0l-2147483645,0l-2147483645,-2147483646l0,-2147483646xe" fillcolor="#deebf7" stroked="t" o:allowincell="f" style="position:absolute;margin-left:-0.6pt;margin-top:9.45pt;width:481.95pt;height:67.05pt;mso-wrap-style:square;v-text-anchor:top" wp14:anchorId="7EF299AF">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jc w:val="both"/>
                        <w:rPr>
                          <w:color w:val="000000"/>
                        </w:rPr>
                      </w:pPr>
                      <w:r>
                        <w:rPr>
                          <w:color w:val="000000"/>
                        </w:rPr>
                        <w:t>La misura non è ancora applicata in maniera omogenea in tutta l’Azienda. In seguito al previsto aggiornamento del regolamento sulla gestione del conflitto di interessi, adottato con delibera n.195 del 30/01/2019, saranno organizzati degli incontri per favorirne l’implementazione.</w:t>
                      </w:r>
                    </w:p>
                  </w:txbxContent>
                </v:textbox>
                <w10:wrap type="topAndBottom"/>
              </v:rect>
            </w:pict>
          </mc:Fallback>
        </mc:AlternateContent>
      </w:r>
    </w:p>
    <w:p>
      <w:pPr>
        <w:pStyle w:val="Titolo2"/>
        <w:rPr/>
      </w:pPr>
      <w:bookmarkStart w:id="29" w:name="__RefHeading___Toc3285_191163200"/>
      <w:bookmarkStart w:id="30" w:name="_Toc88657659"/>
      <w:bookmarkEnd w:id="29"/>
      <w:r>
        <w:rPr/>
        <w:t>Commissioni e conferimento incarichi in caso di condanna</w:t>
      </w:r>
      <w:bookmarkEnd w:id="30"/>
    </w:p>
    <w:p>
      <w:pPr>
        <w:pStyle w:val="Normal"/>
        <w:rPr/>
      </w:pPr>
      <w:r>
        <w:rPr/>
      </w:r>
    </w:p>
    <w:p>
      <w:pPr>
        <w:pStyle w:val="Normal"/>
        <w:jc w:val="both"/>
        <w:rPr/>
      </w:pPr>
      <w:r>
        <w:rPr/>
        <w:t>La misura “Commissioni, assegnazioni di uffici e conferimento di incarichi in caso di condanna per delitti contro le PA”, pur essendo stata programmata nel PTPCT e nella sezione Anticorruzione e Trasparenza del PIAO di riferimento, non è stata ancora attuata ma sono state avviate le attività e, dunque, la misura è attualmente in corso di adozione.</w:t>
      </w:r>
    </w:p>
    <w:p>
      <w:pPr>
        <w:pStyle w:val="Normal"/>
        <w:rPr/>
      </w:pPr>
      <w:r>
        <w:rPr/>
      </w:r>
    </w:p>
    <w:p>
      <w:pPr>
        <w:pStyle w:val="Normal"/>
        <w:rPr/>
      </w:pPr>
      <w:r>
        <w:rPr/>
        <mc:AlternateContent>
          <mc:Choice Requires="wps">
            <w:drawing>
              <wp:anchor behindDoc="0" distT="21590" distB="0" distL="135890" distR="114300" simplePos="0" locked="0" layoutInCell="0" allowOverlap="1" relativeHeight="4" wp14:anchorId="3A944B5A">
                <wp:simplePos x="0" y="0"/>
                <wp:positionH relativeFrom="column">
                  <wp:posOffset>3175</wp:posOffset>
                </wp:positionH>
                <wp:positionV relativeFrom="paragraph">
                  <wp:posOffset>28575</wp:posOffset>
                </wp:positionV>
                <wp:extent cx="6116955" cy="663575"/>
                <wp:effectExtent l="0" t="0" r="22860" b="26670"/>
                <wp:wrapTopAndBottom/>
                <wp:docPr id="9" name="Casella di testo 12"/>
                <a:graphic xmlns:a="http://schemas.openxmlformats.org/drawingml/2006/main">
                  <a:graphicData uri="http://schemas.microsoft.com/office/word/2010/wordprocessingShape">
                    <wps:wsp>
                      <wps:cNvSpPr/>
                      <wps:spPr>
                        <a:xfrm>
                          <a:off x="0" y="0"/>
                          <a:ext cx="6116400" cy="66312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jc w:val="both"/>
                              <w:rPr>
                                <w:color w:val="000000"/>
                              </w:rPr>
                            </w:pPr>
                            <w:r>
                              <w:rPr>
                                <w:color w:val="000000"/>
                              </w:rPr>
                              <w:t>Il regolamento sulla gestione del conflitto di interessi adottato con Delibera n.195 del 30/01/2019 è in fase di aggiornamento.</w:t>
                            </w:r>
                          </w:p>
                        </w:txbxContent>
                      </wps:txbx>
                      <wps:bodyPr anchor="t">
                        <a:prstTxWarp prst="textNoShape"/>
                        <a:noAutofit/>
                      </wps:bodyPr>
                    </wps:wsp>
                  </a:graphicData>
                </a:graphic>
              </wp:anchor>
            </w:drawing>
          </mc:Choice>
          <mc:Fallback>
            <w:pict>
              <v:rect id="shape_0" ID="Casella di testo 12" path="m0,0l-2147483645,0l-2147483645,-2147483646l0,-2147483646xe" fillcolor="#deebf7" stroked="t" o:allowincell="f" style="position:absolute;margin-left:0.25pt;margin-top:2.25pt;width:481.55pt;height:52.15pt;mso-wrap-style:square;v-text-anchor:top" wp14:anchorId="3A944B5A">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jc w:val="both"/>
                        <w:rPr>
                          <w:color w:val="000000"/>
                        </w:rPr>
                      </w:pPr>
                      <w:r>
                        <w:rPr>
                          <w:color w:val="000000"/>
                        </w:rPr>
                        <w:t>Il regolamento sulla gestione del conflitto di interessi adottato con Delibera n.195 del 30/01/2019 è in fase di aggiornamento.</w:t>
                      </w:r>
                    </w:p>
                  </w:txbxContent>
                </v:textbox>
                <w10:wrap type="topAndBottom"/>
              </v:rect>
            </w:pict>
          </mc:Fallback>
        </mc:AlternateContent>
      </w:r>
    </w:p>
    <w:p>
      <w:pPr>
        <w:pStyle w:val="Titolo2"/>
        <w:rPr/>
      </w:pPr>
      <w:bookmarkStart w:id="31" w:name="__RefHeading___Toc3287_191163200"/>
      <w:bookmarkStart w:id="32" w:name="_Toc88657660"/>
      <w:bookmarkEnd w:id="31"/>
      <w:r>
        <w:rPr/>
        <w:t>Patti di integrità</w:t>
      </w:r>
      <w:bookmarkEnd w:id="32"/>
    </w:p>
    <w:p>
      <w:pPr>
        <w:pStyle w:val="Normal"/>
        <w:rPr/>
      </w:pPr>
      <w:r>
        <w:rPr/>
      </w:r>
    </w:p>
    <w:p>
      <w:pPr>
        <w:pStyle w:val="Normal"/>
        <w:jc w:val="both"/>
        <w:rPr/>
      </w:pPr>
      <w:r>
        <w:rPr/>
        <w:t>Sono stati predisposti e utilizzati protocolli di legalità o patti d’integrità per l’affidamento di commesse.</w:t>
      </w:r>
    </w:p>
    <w:p>
      <w:pPr>
        <w:pStyle w:val="Normal"/>
        <w:jc w:val="both"/>
        <w:rPr/>
      </w:pPr>
      <w:r>
        <w:rPr/>
        <w:t>Le clausole dei Patti di Integrità o protocolli di legalità sono state inserite in 24 bandi rispetto al totale dei bandi predisposti nell’anno di riferimento del PTPCT e dalla sezione Anticorruzione e Trasparenza del PIAO in esame.</w:t>
      </w:r>
    </w:p>
    <w:p>
      <w:pPr>
        <w:pStyle w:val="Normal"/>
        <w:jc w:val="both"/>
        <w:rPr/>
      </w:pPr>
      <w:r>
        <w:rPr/>
        <w:t>Sono state previste clausole sul rispetto dei Patti di Integrità, in 24 contratti tra quelli stipulati nell’anno di riferimento del PTPCT e dalla sezione Anticorruzione e Trasparenza del PIAO in esame.</w:t>
      </w:r>
      <w:bookmarkStart w:id="33" w:name="_Hlk88649032"/>
      <w:bookmarkEnd w:id="33"/>
    </w:p>
    <w:p>
      <w:pPr>
        <w:pStyle w:val="Normal"/>
        <w:rPr>
          <w:color w:val="000000" w:themeColor="text1"/>
        </w:rPr>
      </w:pPr>
      <w:r>
        <w:rPr>
          <w:color w:val="000000" w:themeColor="text1"/>
        </w:rPr>
      </w:r>
    </w:p>
    <w:p>
      <w:pPr>
        <w:pStyle w:val="Titolo2"/>
        <w:rPr/>
      </w:pPr>
      <w:bookmarkStart w:id="34" w:name="__RefHeading___Toc3289_191163200"/>
      <w:bookmarkStart w:id="35" w:name="_Toc88657661"/>
      <w:bookmarkEnd w:id="34"/>
      <w:r>
        <w:rPr/>
        <w:t>Rapporti con i portatori di interessi particolari</w:t>
      </w:r>
      <w:bookmarkEnd w:id="35"/>
    </w:p>
    <w:p>
      <w:pPr>
        <w:pStyle w:val="Normal"/>
        <w:rPr/>
      </w:pPr>
      <w:r>
        <w:rPr/>
      </w:r>
    </w:p>
    <w:p>
      <w:pPr>
        <w:pStyle w:val="Normal"/>
        <w:jc w:val="both"/>
        <w:rPr/>
      </w:pPr>
      <w:r>
        <w:rPr/>
        <w:t>La misura “Rapporti con i portatori di interessi particolari” non è stata programmata nel PTPCT e nella sezione Anticorruzione e Trasparenza del PIAO in esame o, laddove la misura sia stata già adottata negli anni precedenti, non si prevede di realizzare interventi idonei a garantire la corretta e continua attuazione della stessa.</w:t>
      </w:r>
    </w:p>
    <w:p>
      <w:pPr>
        <w:pStyle w:val="Normal"/>
        <w:rPr/>
      </w:pPr>
      <w:r>
        <w:rPr/>
      </w:r>
    </w:p>
    <w:p>
      <w:pPr>
        <w:pStyle w:val="Titolo2"/>
        <w:rPr/>
      </w:pPr>
      <w:bookmarkStart w:id="36" w:name="__RefHeading___Toc3291_191163200"/>
      <w:bookmarkStart w:id="37" w:name="_Toc88657662"/>
      <w:bookmarkEnd w:id="36"/>
      <w:r>
        <w:rPr/>
        <w:t>Considerazioni conclusive sull’attuazione delle misure generali</w:t>
      </w:r>
      <w:bookmarkEnd w:id="37"/>
    </w:p>
    <w:p>
      <w:pPr>
        <w:pStyle w:val="Normal"/>
        <w:rPr/>
      </w:pPr>
      <w:r>
        <w:rPr/>
      </w:r>
    </w:p>
    <w:p>
      <w:pPr>
        <w:pStyle w:val="Normal"/>
        <w:rPr/>
      </w:pPr>
      <w:r>
        <w:rPr/>
        <w:t>Il complesso delle misure attuate ha avuto un effetto (diretto o indiretto):</w:t>
        <w:br/>
        <w:t xml:space="preserve">  - neutrale sulla qualità dei servizi;</w:t>
        <w:br/>
        <w:t xml:space="preserve">  - neutrale sull'efficienza dei servizi (es. in termini di riduzione dei tempi di erogazione dei servizi);</w:t>
        <w:br/>
        <w:t xml:space="preserve">  - negativo sul funzionamento dell'Azienda (es. in termini di semplificazione/snellimento delle procedure);</w:t>
        <w:br/>
        <w:t xml:space="preserve">  - positivo sulla diffusione della cultura della legalità;</w:t>
        <w:br/>
        <w:t xml:space="preserve">  - neutrale sulle relazioni con i cittadini;</w:t>
        <w:br/>
        <w:t xml:space="preserve">  - positivo sul funzionamento dei processi sottoposti ad analisi del rischio corruzione.</w:t>
      </w:r>
    </w:p>
    <w:p>
      <w:pPr>
        <w:pStyle w:val="Titolo1"/>
        <w:rPr/>
      </w:pPr>
      <w:bookmarkStart w:id="38" w:name="__RefHeading___Toc3293_191163200"/>
      <w:bookmarkStart w:id="39" w:name="_Toc88657663"/>
      <w:bookmarkEnd w:id="38"/>
      <w:r>
        <w:rPr/>
        <w:t>RENDICONTAZIONE MISURE SPECIFICHE</w:t>
      </w:r>
      <w:bookmarkEnd w:id="39"/>
    </w:p>
    <w:p>
      <w:pPr>
        <w:pStyle w:val="Normal"/>
        <w:rPr/>
      </w:pPr>
      <w:r>
        <w:rPr/>
      </w:r>
    </w:p>
    <w:p>
      <w:pPr>
        <w:pStyle w:val="Normal"/>
        <w:rPr/>
      </w:pPr>
      <w:r>
        <w:rPr/>
        <w:t>La presente sezione illustra l’andamento relativo all’attuazione delle misure specifiche per l’anno di riferimento del PTPCT.</w:t>
      </w:r>
    </w:p>
    <w:p>
      <w:pPr>
        <w:pStyle w:val="Normal"/>
        <w:rPr/>
      </w:pPr>
      <w:r>
        <w:rPr/>
      </w:r>
    </w:p>
    <w:p>
      <w:pPr>
        <w:pStyle w:val="Titolo2"/>
        <w:rPr/>
      </w:pPr>
      <w:bookmarkStart w:id="40" w:name="__RefHeading___Toc3295_191163200"/>
      <w:bookmarkStart w:id="41" w:name="_Toc88657664"/>
      <w:bookmarkEnd w:id="40"/>
      <w:r>
        <w:rPr/>
        <w:t>Quadro di sintesi dell’attuazione delle misure specifiche</w:t>
      </w:r>
      <w:bookmarkEnd w:id="41"/>
      <w:r>
        <w:rPr/>
        <w:t xml:space="preserve"> </w:t>
      </w:r>
    </w:p>
    <w:p>
      <w:pPr>
        <w:pStyle w:val="Normal"/>
        <w:rPr/>
      </w:pPr>
      <w:r>
        <w:rPr/>
      </w:r>
    </w:p>
    <w:p>
      <w:pPr>
        <w:pStyle w:val="Normal"/>
        <w:rPr/>
      </w:pPr>
      <w:r>
        <w:rPr/>
        <w:t>Nel corso dell’annualità di riferimento, lo stato di programmazione e attuazione delle misure specifiche è sintetizzato nella seguente tabella:</w:t>
      </w:r>
    </w:p>
    <w:p>
      <w:pPr>
        <w:pStyle w:val="Normal"/>
        <w:rPr/>
      </w:pPr>
      <w:r>
        <w:rPr/>
      </w:r>
    </w:p>
    <w:tbl>
      <w:tblPr>
        <w:tblStyle w:val="Grigliatabella"/>
        <w:tblW w:w="96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91"/>
        <w:gridCol w:w="1363"/>
        <w:gridCol w:w="1016"/>
        <w:gridCol w:w="1427"/>
        <w:gridCol w:w="1629"/>
      </w:tblGrid>
      <w:tr>
        <w:trPr/>
        <w:tc>
          <w:tcPr>
            <w:tcW w:w="4191" w:type="dxa"/>
            <w:tcBorders/>
          </w:tcPr>
          <w:p>
            <w:pPr>
              <w:pStyle w:val="Normal"/>
              <w:widowControl w:val="false"/>
              <w:suppressAutoHyphens w:val="true"/>
              <w:spacing w:before="0" w:after="0"/>
              <w:jc w:val="center"/>
              <w:rPr>
                <w:rFonts w:ascii="Times New Roman" w:hAnsi="Times New Roman" w:cs="Calibri"/>
                <w:b/>
                <w:b/>
                <w:bCs/>
                <w:kern w:val="0"/>
                <w:sz w:val="24"/>
                <w:szCs w:val="24"/>
                <w:lang w:val="it-IT" w:bidi="ar-SA"/>
              </w:rPr>
            </w:pPr>
            <w:r>
              <w:rPr>
                <w:rFonts w:cs="Calibri" w:cstheme="minorHAnsi"/>
                <w:b/>
                <w:bCs/>
                <w:kern w:val="0"/>
                <w:sz w:val="24"/>
                <w:szCs w:val="24"/>
                <w:lang w:val="it-IT" w:bidi="ar-SA"/>
              </w:rPr>
              <w:t>Ambito</w:t>
            </w:r>
          </w:p>
        </w:tc>
        <w:tc>
          <w:tcPr>
            <w:tcW w:w="1363" w:type="dxa"/>
            <w:tcBorders/>
          </w:tcPr>
          <w:p>
            <w:pPr>
              <w:pStyle w:val="Normal"/>
              <w:widowControl w:val="false"/>
              <w:suppressAutoHyphens w:val="true"/>
              <w:spacing w:before="0" w:after="0"/>
              <w:jc w:val="center"/>
              <w:rPr>
                <w:rFonts w:ascii="Times New Roman" w:hAnsi="Times New Roman" w:cs="Calibri"/>
                <w:b/>
                <w:b/>
                <w:bCs/>
                <w:kern w:val="0"/>
                <w:sz w:val="24"/>
                <w:szCs w:val="24"/>
                <w:lang w:val="it-IT" w:bidi="ar-SA"/>
              </w:rPr>
            </w:pPr>
            <w:r>
              <w:rPr>
                <w:rFonts w:cs="Calibri" w:cstheme="minorHAnsi"/>
                <w:b/>
                <w:bCs/>
                <w:kern w:val="0"/>
                <w:sz w:val="24"/>
                <w:szCs w:val="24"/>
                <w:lang w:val="it-IT" w:bidi="ar-SA"/>
              </w:rPr>
              <w:t>Pianificate</w:t>
            </w:r>
          </w:p>
        </w:tc>
        <w:tc>
          <w:tcPr>
            <w:tcW w:w="1016" w:type="dxa"/>
            <w:tcBorders/>
          </w:tcPr>
          <w:p>
            <w:pPr>
              <w:pStyle w:val="Normal"/>
              <w:widowControl w:val="false"/>
              <w:suppressAutoHyphens w:val="true"/>
              <w:spacing w:before="0" w:after="0"/>
              <w:jc w:val="center"/>
              <w:rPr>
                <w:rFonts w:ascii="Times New Roman" w:hAnsi="Times New Roman" w:cs="Calibri"/>
                <w:b/>
                <w:b/>
                <w:bCs/>
                <w:kern w:val="0"/>
                <w:sz w:val="24"/>
                <w:szCs w:val="24"/>
                <w:lang w:val="it-IT" w:bidi="ar-SA"/>
              </w:rPr>
            </w:pPr>
            <w:r>
              <w:rPr>
                <w:rFonts w:cs="Calibri" w:cstheme="minorHAnsi"/>
                <w:b/>
                <w:bCs/>
                <w:kern w:val="0"/>
                <w:sz w:val="24"/>
                <w:szCs w:val="24"/>
                <w:lang w:val="it-IT" w:bidi="ar-SA"/>
              </w:rPr>
              <w:t>Attuate</w:t>
            </w:r>
          </w:p>
        </w:tc>
        <w:tc>
          <w:tcPr>
            <w:tcW w:w="1427" w:type="dxa"/>
            <w:tcBorders/>
          </w:tcPr>
          <w:p>
            <w:pPr>
              <w:pStyle w:val="Normal"/>
              <w:widowControl w:val="false"/>
              <w:suppressAutoHyphens w:val="true"/>
              <w:spacing w:before="0" w:after="0"/>
              <w:jc w:val="center"/>
              <w:rPr>
                <w:rFonts w:ascii="Times New Roman" w:hAnsi="Times New Roman" w:cs="Calibri"/>
                <w:b/>
                <w:b/>
                <w:bCs/>
                <w:kern w:val="0"/>
                <w:sz w:val="24"/>
                <w:szCs w:val="24"/>
                <w:lang w:val="it-IT" w:bidi="ar-SA"/>
              </w:rPr>
            </w:pPr>
            <w:r>
              <w:rPr>
                <w:rFonts w:cs="Calibri" w:cstheme="minorHAnsi"/>
                <w:b/>
                <w:bCs/>
                <w:kern w:val="0"/>
                <w:sz w:val="24"/>
                <w:szCs w:val="24"/>
                <w:lang w:val="it-IT" w:bidi="ar-SA"/>
              </w:rPr>
              <w:t>Non attuate</w:t>
            </w:r>
          </w:p>
        </w:tc>
        <w:tc>
          <w:tcPr>
            <w:tcW w:w="1629" w:type="dxa"/>
            <w:tcBorders/>
          </w:tcPr>
          <w:p>
            <w:pPr>
              <w:pStyle w:val="Normal"/>
              <w:widowControl w:val="false"/>
              <w:suppressAutoHyphens w:val="true"/>
              <w:spacing w:before="0" w:after="0"/>
              <w:jc w:val="center"/>
              <w:rPr>
                <w:rFonts w:ascii="Times New Roman" w:hAnsi="Times New Roman" w:cs="Calibri"/>
                <w:b/>
                <w:b/>
                <w:bCs/>
                <w:kern w:val="0"/>
                <w:sz w:val="24"/>
                <w:szCs w:val="24"/>
                <w:lang w:val="it-IT" w:bidi="ar-SA"/>
              </w:rPr>
            </w:pPr>
            <w:r>
              <w:rPr>
                <w:rFonts w:cs="Calibri" w:cstheme="minorHAnsi"/>
                <w:b/>
                <w:bCs/>
                <w:kern w:val="0"/>
                <w:sz w:val="24"/>
                <w:szCs w:val="24"/>
                <w:lang w:val="it-IT" w:bidi="ar-SA"/>
              </w:rPr>
              <w:t>% attuazione</w:t>
            </w:r>
          </w:p>
        </w:tc>
      </w:tr>
      <w:tr>
        <w:trPr/>
        <w:tc>
          <w:tcPr>
            <w:tcW w:w="4191" w:type="dxa"/>
            <w:tcBorders/>
          </w:tcPr>
          <w:p>
            <w:pPr>
              <w:pStyle w:val="Normal"/>
              <w:widowControl w:val="false"/>
              <w:suppressAutoHyphens w:val="true"/>
              <w:spacing w:before="0" w:after="0"/>
              <w:jc w:val="left"/>
              <w:rPr>
                <w:kern w:val="0"/>
                <w:sz w:val="22"/>
                <w:szCs w:val="22"/>
                <w:lang w:val="it-IT" w:bidi="ar-SA"/>
              </w:rPr>
            </w:pPr>
            <w:r>
              <w:rPr>
                <w:kern w:val="0"/>
                <w:sz w:val="22"/>
                <w:szCs w:val="22"/>
                <w:lang w:val="it-IT" w:bidi="ar-SA"/>
              </w:rPr>
              <w:t>Misure di controllo</w:t>
            </w:r>
          </w:p>
        </w:tc>
        <w:tc>
          <w:tcPr>
            <w:tcW w:w="1363"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22</w:t>
            </w:r>
          </w:p>
        </w:tc>
        <w:tc>
          <w:tcPr>
            <w:tcW w:w="1016"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20</w:t>
            </w:r>
          </w:p>
        </w:tc>
        <w:tc>
          <w:tcPr>
            <w:tcW w:w="1427"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2</w:t>
            </w:r>
          </w:p>
        </w:tc>
        <w:tc>
          <w:tcPr>
            <w:tcW w:w="1629"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90</w:t>
            </w:r>
          </w:p>
        </w:tc>
      </w:tr>
      <w:tr>
        <w:trPr/>
        <w:tc>
          <w:tcPr>
            <w:tcW w:w="4191" w:type="dxa"/>
            <w:tcBorders/>
          </w:tcPr>
          <w:p>
            <w:pPr>
              <w:pStyle w:val="Normal"/>
              <w:widowControl w:val="false"/>
              <w:suppressAutoHyphens w:val="true"/>
              <w:spacing w:before="0" w:after="0"/>
              <w:jc w:val="left"/>
              <w:rPr>
                <w:kern w:val="0"/>
                <w:sz w:val="22"/>
                <w:szCs w:val="22"/>
                <w:lang w:val="it-IT" w:bidi="ar-SA"/>
              </w:rPr>
            </w:pPr>
            <w:r>
              <w:rPr>
                <w:kern w:val="0"/>
                <w:sz w:val="22"/>
                <w:szCs w:val="22"/>
                <w:lang w:val="it-IT" w:bidi="ar-SA"/>
              </w:rPr>
              <w:t>Misure di trasparenza</w:t>
            </w:r>
          </w:p>
        </w:tc>
        <w:tc>
          <w:tcPr>
            <w:tcW w:w="1363"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2</w:t>
            </w:r>
          </w:p>
        </w:tc>
        <w:tc>
          <w:tcPr>
            <w:tcW w:w="1016"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0</w:t>
            </w:r>
          </w:p>
        </w:tc>
        <w:tc>
          <w:tcPr>
            <w:tcW w:w="1427"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2</w:t>
            </w:r>
          </w:p>
        </w:tc>
        <w:tc>
          <w:tcPr>
            <w:tcW w:w="1629"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0</w:t>
            </w:r>
          </w:p>
        </w:tc>
      </w:tr>
      <w:tr>
        <w:trPr/>
        <w:tc>
          <w:tcPr>
            <w:tcW w:w="4191" w:type="dxa"/>
            <w:tcBorders/>
          </w:tcPr>
          <w:p>
            <w:pPr>
              <w:pStyle w:val="Normal"/>
              <w:widowControl w:val="false"/>
              <w:suppressAutoHyphens w:val="true"/>
              <w:spacing w:before="0" w:after="0"/>
              <w:jc w:val="left"/>
              <w:rPr>
                <w:kern w:val="0"/>
                <w:sz w:val="22"/>
                <w:szCs w:val="22"/>
                <w:lang w:val="it-IT" w:bidi="ar-SA"/>
              </w:rPr>
            </w:pPr>
            <w:r>
              <w:rPr>
                <w:kern w:val="0"/>
                <w:sz w:val="22"/>
                <w:szCs w:val="22"/>
                <w:lang w:val="it-IT" w:bidi="ar-SA"/>
              </w:rPr>
              <w:t>Misure di definizione e promozione dell’etica e di standard di comportamento</w:t>
            </w:r>
          </w:p>
        </w:tc>
        <w:tc>
          <w:tcPr>
            <w:tcW w:w="1363"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5</w:t>
            </w:r>
          </w:p>
        </w:tc>
        <w:tc>
          <w:tcPr>
            <w:tcW w:w="1016"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5</w:t>
            </w:r>
          </w:p>
        </w:tc>
        <w:tc>
          <w:tcPr>
            <w:tcW w:w="1427"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0</w:t>
            </w:r>
          </w:p>
        </w:tc>
        <w:tc>
          <w:tcPr>
            <w:tcW w:w="1629"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100</w:t>
            </w:r>
          </w:p>
        </w:tc>
      </w:tr>
      <w:tr>
        <w:trPr/>
        <w:tc>
          <w:tcPr>
            <w:tcW w:w="4191" w:type="dxa"/>
            <w:tcBorders/>
          </w:tcPr>
          <w:p>
            <w:pPr>
              <w:pStyle w:val="Normal"/>
              <w:widowControl w:val="false"/>
              <w:suppressAutoHyphens w:val="true"/>
              <w:spacing w:before="0" w:after="0"/>
              <w:jc w:val="left"/>
              <w:rPr>
                <w:kern w:val="0"/>
                <w:sz w:val="22"/>
                <w:szCs w:val="22"/>
                <w:lang w:val="it-IT" w:bidi="ar-SA"/>
              </w:rPr>
            </w:pPr>
            <w:r>
              <w:rPr>
                <w:kern w:val="0"/>
                <w:sz w:val="22"/>
                <w:szCs w:val="22"/>
                <w:lang w:val="it-IT" w:bidi="ar-SA"/>
              </w:rPr>
              <w:t>Misure di regolamentazione</w:t>
            </w:r>
          </w:p>
        </w:tc>
        <w:tc>
          <w:tcPr>
            <w:tcW w:w="1363"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19</w:t>
            </w:r>
          </w:p>
        </w:tc>
        <w:tc>
          <w:tcPr>
            <w:tcW w:w="1016"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16</w:t>
            </w:r>
          </w:p>
        </w:tc>
        <w:tc>
          <w:tcPr>
            <w:tcW w:w="1427"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3</w:t>
            </w:r>
          </w:p>
        </w:tc>
        <w:tc>
          <w:tcPr>
            <w:tcW w:w="1629"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84</w:t>
            </w:r>
          </w:p>
        </w:tc>
      </w:tr>
      <w:tr>
        <w:trPr/>
        <w:tc>
          <w:tcPr>
            <w:tcW w:w="4191" w:type="dxa"/>
            <w:tcBorders/>
          </w:tcPr>
          <w:p>
            <w:pPr>
              <w:pStyle w:val="Normal"/>
              <w:widowControl w:val="false"/>
              <w:suppressAutoHyphens w:val="true"/>
              <w:spacing w:before="0" w:after="0"/>
              <w:jc w:val="left"/>
              <w:rPr>
                <w:kern w:val="0"/>
                <w:sz w:val="22"/>
                <w:szCs w:val="22"/>
                <w:lang w:val="it-IT" w:bidi="ar-SA"/>
              </w:rPr>
            </w:pPr>
            <w:r>
              <w:rPr>
                <w:kern w:val="0"/>
                <w:sz w:val="22"/>
                <w:szCs w:val="22"/>
                <w:lang w:val="it-IT" w:bidi="ar-SA"/>
              </w:rPr>
              <w:t>Misure di rotazione</w:t>
            </w:r>
          </w:p>
        </w:tc>
        <w:tc>
          <w:tcPr>
            <w:tcW w:w="1363"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3</w:t>
            </w:r>
          </w:p>
        </w:tc>
        <w:tc>
          <w:tcPr>
            <w:tcW w:w="1016"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2</w:t>
            </w:r>
          </w:p>
        </w:tc>
        <w:tc>
          <w:tcPr>
            <w:tcW w:w="1427"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1</w:t>
            </w:r>
          </w:p>
        </w:tc>
        <w:tc>
          <w:tcPr>
            <w:tcW w:w="1629"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66</w:t>
            </w:r>
          </w:p>
        </w:tc>
      </w:tr>
      <w:tr>
        <w:trPr/>
        <w:tc>
          <w:tcPr>
            <w:tcW w:w="4191" w:type="dxa"/>
            <w:tcBorders/>
          </w:tcPr>
          <w:p>
            <w:pPr>
              <w:pStyle w:val="Normal"/>
              <w:widowControl w:val="false"/>
              <w:suppressAutoHyphens w:val="true"/>
              <w:spacing w:before="0" w:after="0"/>
              <w:jc w:val="left"/>
              <w:rPr>
                <w:kern w:val="0"/>
                <w:sz w:val="22"/>
                <w:szCs w:val="22"/>
                <w:lang w:val="it-IT" w:bidi="ar-SA"/>
              </w:rPr>
            </w:pPr>
            <w:r>
              <w:rPr>
                <w:kern w:val="0"/>
                <w:sz w:val="22"/>
                <w:szCs w:val="22"/>
                <w:lang w:val="it-IT" w:bidi="ar-SA"/>
              </w:rPr>
              <w:t>Misure di disciplina del conflitto di interessi</w:t>
            </w:r>
          </w:p>
        </w:tc>
        <w:tc>
          <w:tcPr>
            <w:tcW w:w="1363"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26</w:t>
            </w:r>
          </w:p>
        </w:tc>
        <w:tc>
          <w:tcPr>
            <w:tcW w:w="1016"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21</w:t>
            </w:r>
          </w:p>
        </w:tc>
        <w:tc>
          <w:tcPr>
            <w:tcW w:w="1427"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5</w:t>
            </w:r>
          </w:p>
        </w:tc>
        <w:tc>
          <w:tcPr>
            <w:tcW w:w="1629" w:type="dxa"/>
            <w:tcBorders/>
          </w:tcPr>
          <w:p>
            <w:pPr>
              <w:pStyle w:val="Normal"/>
              <w:widowControl w:val="false"/>
              <w:suppressAutoHyphens w:val="true"/>
              <w:spacing w:before="0" w:after="0"/>
              <w:jc w:val="center"/>
              <w:rPr>
                <w:rFonts w:ascii="Times New Roman" w:hAnsi="Times New Roman"/>
                <w:kern w:val="0"/>
                <w:sz w:val="24"/>
                <w:szCs w:val="24"/>
                <w:lang w:val="it-IT" w:bidi="ar-SA"/>
              </w:rPr>
            </w:pPr>
            <w:r>
              <w:rPr>
                <w:kern w:val="0"/>
                <w:sz w:val="24"/>
                <w:szCs w:val="24"/>
                <w:lang w:val="it-IT" w:bidi="ar-SA"/>
              </w:rPr>
              <w:t>80</w:t>
            </w:r>
          </w:p>
        </w:tc>
      </w:tr>
      <w:tr>
        <w:trPr/>
        <w:tc>
          <w:tcPr>
            <w:tcW w:w="4191" w:type="dxa"/>
            <w:tcBorders/>
          </w:tcPr>
          <w:p>
            <w:pPr>
              <w:pStyle w:val="Normal"/>
              <w:widowControl w:val="false"/>
              <w:suppressAutoHyphens w:val="true"/>
              <w:spacing w:before="0" w:after="0"/>
              <w:jc w:val="left"/>
              <w:rPr>
                <w:rFonts w:ascii="Times New Roman" w:hAnsi="Times New Roman"/>
                <w:b/>
                <w:b/>
                <w:bCs/>
                <w:kern w:val="0"/>
                <w:sz w:val="24"/>
                <w:szCs w:val="24"/>
                <w:lang w:val="it-IT" w:bidi="ar-SA"/>
              </w:rPr>
            </w:pPr>
            <w:r>
              <w:rPr>
                <w:b/>
                <w:bCs/>
                <w:kern w:val="0"/>
                <w:sz w:val="24"/>
                <w:szCs w:val="24"/>
                <w:lang w:val="it-IT" w:bidi="ar-SA"/>
              </w:rPr>
              <w:t>TOTALI</w:t>
            </w:r>
          </w:p>
        </w:tc>
        <w:tc>
          <w:tcPr>
            <w:tcW w:w="1363" w:type="dxa"/>
            <w:tcBorders/>
          </w:tcPr>
          <w:p>
            <w:pPr>
              <w:pStyle w:val="Normal"/>
              <w:widowControl w:val="false"/>
              <w:suppressAutoHyphens w:val="true"/>
              <w:spacing w:before="0" w:after="0"/>
              <w:jc w:val="center"/>
              <w:rPr>
                <w:rFonts w:ascii="Times New Roman" w:hAnsi="Times New Roman"/>
                <w:b/>
                <w:b/>
                <w:bCs/>
                <w:kern w:val="0"/>
                <w:sz w:val="24"/>
                <w:szCs w:val="24"/>
                <w:lang w:val="it-IT" w:bidi="ar-SA"/>
              </w:rPr>
            </w:pPr>
            <w:r>
              <w:rPr>
                <w:b/>
                <w:bCs/>
                <w:kern w:val="0"/>
                <w:sz w:val="24"/>
                <w:szCs w:val="24"/>
                <w:lang w:val="it-IT" w:bidi="ar-SA"/>
              </w:rPr>
              <w:t>77</w:t>
            </w:r>
          </w:p>
        </w:tc>
        <w:tc>
          <w:tcPr>
            <w:tcW w:w="1016" w:type="dxa"/>
            <w:tcBorders/>
          </w:tcPr>
          <w:p>
            <w:pPr>
              <w:pStyle w:val="Normal"/>
              <w:widowControl w:val="false"/>
              <w:suppressAutoHyphens w:val="true"/>
              <w:spacing w:before="0" w:after="0"/>
              <w:jc w:val="center"/>
              <w:rPr>
                <w:rFonts w:ascii="Times New Roman" w:hAnsi="Times New Roman"/>
                <w:b/>
                <w:b/>
                <w:bCs/>
                <w:kern w:val="0"/>
                <w:sz w:val="24"/>
                <w:szCs w:val="24"/>
                <w:lang w:val="it-IT" w:bidi="ar-SA"/>
              </w:rPr>
            </w:pPr>
            <w:r>
              <w:rPr>
                <w:b/>
                <w:bCs/>
                <w:kern w:val="0"/>
                <w:sz w:val="24"/>
                <w:szCs w:val="24"/>
                <w:lang w:val="it-IT" w:bidi="ar-SA"/>
              </w:rPr>
              <w:t>64</w:t>
            </w:r>
          </w:p>
        </w:tc>
        <w:tc>
          <w:tcPr>
            <w:tcW w:w="1427" w:type="dxa"/>
            <w:tcBorders/>
          </w:tcPr>
          <w:p>
            <w:pPr>
              <w:pStyle w:val="Normal"/>
              <w:widowControl w:val="false"/>
              <w:suppressAutoHyphens w:val="true"/>
              <w:spacing w:before="0" w:after="0"/>
              <w:jc w:val="center"/>
              <w:rPr>
                <w:rFonts w:ascii="Times New Roman" w:hAnsi="Times New Roman"/>
                <w:b/>
                <w:b/>
                <w:bCs/>
                <w:kern w:val="0"/>
                <w:sz w:val="24"/>
                <w:szCs w:val="24"/>
                <w:lang w:val="it-IT" w:bidi="ar-SA"/>
              </w:rPr>
            </w:pPr>
            <w:r>
              <w:rPr>
                <w:b/>
                <w:bCs/>
                <w:kern w:val="0"/>
                <w:sz w:val="24"/>
                <w:szCs w:val="24"/>
                <w:lang w:val="it-IT" w:bidi="ar-SA"/>
              </w:rPr>
              <w:t>13</w:t>
            </w:r>
          </w:p>
        </w:tc>
        <w:tc>
          <w:tcPr>
            <w:tcW w:w="1629" w:type="dxa"/>
            <w:tcBorders/>
          </w:tcPr>
          <w:p>
            <w:pPr>
              <w:pStyle w:val="Normal"/>
              <w:widowControl w:val="false"/>
              <w:suppressAutoHyphens w:val="true"/>
              <w:spacing w:before="0" w:after="0"/>
              <w:jc w:val="center"/>
              <w:rPr>
                <w:rFonts w:ascii="Times New Roman" w:hAnsi="Times New Roman"/>
                <w:b/>
                <w:b/>
                <w:bCs/>
                <w:kern w:val="0"/>
                <w:sz w:val="24"/>
                <w:szCs w:val="24"/>
                <w:lang w:val="it-IT" w:bidi="ar-SA"/>
              </w:rPr>
            </w:pPr>
            <w:r>
              <w:rPr>
                <w:b/>
                <w:bCs/>
                <w:kern w:val="0"/>
                <w:sz w:val="24"/>
                <w:szCs w:val="24"/>
                <w:lang w:val="it-IT" w:bidi="ar-SA"/>
              </w:rPr>
              <w:t>83</w:t>
            </w:r>
          </w:p>
        </w:tc>
      </w:tr>
    </w:tbl>
    <w:p>
      <w:pPr>
        <w:pStyle w:val="Titolo1"/>
        <w:rPr/>
      </w:pPr>
      <w:bookmarkStart w:id="42" w:name="__RefHeading___Toc3297_191163200"/>
      <w:bookmarkStart w:id="43" w:name="_Toc88657665"/>
      <w:bookmarkEnd w:id="42"/>
      <w:r>
        <w:rPr/>
        <w:t>MONITORAGGIO GESTIONE DEL RISCHIO</w:t>
      </w:r>
      <w:bookmarkEnd w:id="43"/>
      <w:r>
        <w:rPr>
          <w:color w:val="FF0000"/>
        </w:rPr>
        <w:t xml:space="preserve"> </w:t>
      </w:r>
    </w:p>
    <w:p>
      <w:pPr>
        <w:pStyle w:val="Normal"/>
        <w:rPr/>
      </w:pPr>
      <w:r>
        <w:rPr/>
      </w:r>
    </w:p>
    <w:p>
      <w:pPr>
        <w:pStyle w:val="Normal"/>
        <w:jc w:val="both"/>
        <w:rPr/>
      </w:pPr>
      <w:r>
        <w:rPr/>
        <w:t>Nel corso dell'anno di riferimento del PTPCT e della sezione Anticorruzione e Trasparenza del PIAO, sono pervenute 7 segnalazioni per episodi di “cattiva amministrazione” che hanno riguardato le seguenti aree di rischio:</w:t>
      </w:r>
    </w:p>
    <w:p>
      <w:pPr>
        <w:pStyle w:val="Normal"/>
        <w:jc w:val="both"/>
        <w:rPr/>
      </w:pPr>
      <w:r>
        <w:rPr/>
        <w:t>- L. Attività libero professionale;</w:t>
      </w:r>
    </w:p>
    <w:p>
      <w:pPr>
        <w:pStyle w:val="Normal"/>
        <w:jc w:val="both"/>
        <w:rPr/>
      </w:pPr>
      <w:r>
        <w:rPr/>
        <w:t>- S. Farmaceutica, dispositivi e altre tecnologie - Sperimentazioni cliniche.</w:t>
      </w:r>
    </w:p>
    <w:p>
      <w:pPr>
        <w:pStyle w:val="Normal"/>
        <w:jc w:val="both"/>
        <w:rPr/>
      </w:pPr>
      <w:r>
        <w:rPr/>
        <w:t>Tutte le segnalazioni in questione sono pervenute tramite altro mezzo (es. segnalazioni anonime anche da soggetti esterni all'amministrazione).</w:t>
      </w:r>
    </w:p>
    <w:p>
      <w:pPr>
        <w:pStyle w:val="Normal"/>
        <w:jc w:val="both"/>
        <w:rPr/>
      </w:pPr>
      <w:r>
        <w:rPr/>
        <w:t>Si ritiene che la messa in atto del processo di gestione del rischio abbia aumentato la consapevolezza del fenomeno corruttivo e la capacità di individuare e far emergere situazioni di rischio corruttivo e di intervenire con adeguati rimedi, anche grazie alla formazione e all'analisi dei processi aziendali.</w:t>
      </w:r>
    </w:p>
    <w:p>
      <w:pPr>
        <w:pStyle w:val="Normal"/>
        <w:jc w:val="both"/>
        <w:rPr/>
      </w:pPr>
      <w:r>
        <w:rPr/>
        <w:t>La reputazione dell'Azienda è rimasta invariata e non ci sono elementi oggettivi di riscontro.</w:t>
      </w:r>
    </w:p>
    <w:p>
      <w:pPr>
        <w:pStyle w:val="Titolo1"/>
        <w:rPr/>
      </w:pPr>
      <w:bookmarkStart w:id="44" w:name="__RefHeading___Toc3299_191163200"/>
      <w:bookmarkStart w:id="45" w:name="_Toc88657666"/>
      <w:bookmarkEnd w:id="44"/>
      <w:r>
        <w:rPr/>
        <w:t>MONITORAGGIO PROCEDIMENTI PENALI</w:t>
      </w:r>
      <w:bookmarkEnd w:id="45"/>
      <w:r>
        <w:rPr/>
        <w:t xml:space="preserve"> </w:t>
      </w:r>
    </w:p>
    <w:p>
      <w:pPr>
        <w:pStyle w:val="Normal"/>
        <w:rPr>
          <w:color w:val="000000" w:themeColor="text1"/>
        </w:rPr>
      </w:pPr>
      <w:r>
        <w:rPr>
          <w:color w:val="000000" w:themeColor="text1"/>
        </w:rPr>
      </w:r>
    </w:p>
    <w:p>
      <w:pPr>
        <w:pStyle w:val="Normal"/>
        <w:jc w:val="both"/>
        <w:rPr>
          <w:color w:val="000000" w:themeColor="text1"/>
        </w:rPr>
      </w:pPr>
      <w:r>
        <w:rPr>
          <w:color w:val="000000" w:themeColor="text1"/>
        </w:rPr>
        <w:t>Nell'anno di riferimento del PTPCT e della sezione Anticorruzione e Trasparenza del PIAO in esame:</w:t>
      </w:r>
    </w:p>
    <w:p>
      <w:pPr>
        <w:pStyle w:val="Normal"/>
        <w:jc w:val="both"/>
        <w:rPr>
          <w:color w:val="000000" w:themeColor="text1"/>
        </w:rPr>
      </w:pPr>
      <w:r>
        <w:rPr>
          <w:color w:val="000000" w:themeColor="text1"/>
        </w:rPr>
        <w:t>- non ci sono state denunce, riguardanti eventi corruttivi, a carico di dipendenti dell'Azienda;</w:t>
      </w:r>
    </w:p>
    <w:p>
      <w:pPr>
        <w:pStyle w:val="Normal"/>
        <w:jc w:val="both"/>
        <w:rPr>
          <w:color w:val="000000" w:themeColor="text1"/>
        </w:rPr>
      </w:pPr>
      <w:r>
        <w:rPr>
          <w:color w:val="000000" w:themeColor="text1"/>
        </w:rPr>
        <w:t>- l’Azienda non ha avuto notizia da parte di propri dipendenti di essere stati destinatari di un procedimento penale;</w:t>
      </w:r>
    </w:p>
    <w:p>
      <w:pPr>
        <w:pStyle w:val="Normal"/>
        <w:jc w:val="both"/>
        <w:rPr>
          <w:color w:val="000000" w:themeColor="text1"/>
        </w:rPr>
      </w:pPr>
      <w:r>
        <w:rPr>
          <w:color w:val="000000" w:themeColor="text1"/>
        </w:rPr>
        <w:t>- non sono stati conclusi con provvedimento non definitivo, procedimenti penali a carico di dipendenti dell'Azienda.</w:t>
      </w:r>
    </w:p>
    <w:p>
      <w:pPr>
        <w:pStyle w:val="Normal"/>
        <w:jc w:val="both"/>
        <w:rPr>
          <w:color w:val="000000" w:themeColor="text1"/>
        </w:rPr>
      </w:pPr>
      <w:r>
        <w:rPr>
          <w:color w:val="000000" w:themeColor="text1"/>
        </w:rPr>
        <w:t>- sono stati conclusi con sentenza o altro provvedimento definitivo 2 procedimenti penali a carico di dipendenti dell'Azienda che hanno riguardato l’area di rischio: F. Gestione delle entrate, delle spese e del patrimonio.</w:t>
      </w:r>
    </w:p>
    <w:p>
      <w:pPr>
        <w:pStyle w:val="Titolo1"/>
        <w:rPr/>
      </w:pPr>
      <w:bookmarkStart w:id="46" w:name="__RefHeading___Toc3301_191163200"/>
      <w:bookmarkStart w:id="47" w:name="_Toc88657667"/>
      <w:bookmarkEnd w:id="46"/>
      <w:r>
        <w:rPr/>
        <w:t>MONITORAGGIO PROCEDIMENTI DISCIPLINARI</w:t>
      </w:r>
      <w:bookmarkEnd w:id="47"/>
      <w:r>
        <w:rPr/>
        <w:t xml:space="preserve"> </w:t>
      </w:r>
    </w:p>
    <w:p>
      <w:pPr>
        <w:pStyle w:val="Normal"/>
        <w:jc w:val="both"/>
        <w:rPr>
          <w:color w:val="000000" w:themeColor="text1"/>
        </w:rPr>
      </w:pPr>
      <w:r>
        <w:rPr>
          <w:color w:val="000000" w:themeColor="text1"/>
        </w:rPr>
        <w:br/>
        <w:t>Nel corso dell’anno di riferimento del PTPCT e della sezione Anticorruzione e Trasparenza del PIAO sono stati avviati 3 procedimenti disciplinari riconducibili a fatti corruttivi a carico di dipendenti.</w:t>
        <w:br/>
        <w:t>Tra i procedimenti disciplinari alcuni sono stati avviati a seguito di segnalazioni pervenute tramite  altro mezzo (es. segnalazioni anonime anche da soggetti esterni all'amministrazione) e altri a seguito di violazioni del Codice di Comportamento.</w:t>
      </w:r>
    </w:p>
    <w:p>
      <w:pPr>
        <w:pStyle w:val="Titolo1"/>
        <w:rPr/>
      </w:pPr>
      <w:bookmarkStart w:id="48" w:name="__RefHeading___Toc3303_191163200"/>
      <w:bookmarkStart w:id="49" w:name="_Toc88657668"/>
      <w:bookmarkEnd w:id="48"/>
      <w:r>
        <w:rPr/>
        <w:t>CONSIDERAZIONI GENERALI</w:t>
      </w:r>
      <w:bookmarkEnd w:id="49"/>
      <w:r>
        <w:rPr/>
        <w:t xml:space="preserve"> </w:t>
      </w:r>
    </w:p>
    <w:p>
      <w:pPr>
        <w:pStyle w:val="Normal"/>
        <w:rPr/>
      </w:pPr>
      <w:r>
        <w:rPr/>
      </w:r>
    </w:p>
    <w:p>
      <w:pPr>
        <w:pStyle w:val="Normal"/>
        <w:jc w:val="both"/>
        <w:rPr/>
      </w:pPr>
      <w:r>
        <w:rPr/>
        <w:t>Si ritiene che lo stato di attuazione del PTPCT e della sezione Anticorruzione e Trasparenza del PIAO (definito attraverso una valutazione sintetica del livello effettivo di attuazione del Piano e delle misure in esso contenute) sia sufficiente in quanto i dati del monitoraggio evidenziano un miglioramento generale dell'applicazione delle misure previste dal PTPCT anche se sono comunque presenti margini di miglioramento dovuti alla complessità dell'organizzazione e al numero elevato di processi gestiti.</w:t>
      </w:r>
    </w:p>
    <w:p>
      <w:pPr>
        <w:pStyle w:val="Normal"/>
        <w:jc w:val="both"/>
        <w:rPr/>
      </w:pPr>
      <w:r>
        <w:rPr/>
        <w:t>Si ritiene che la strategia di prevenzione della corruzione (definita attraverso una valutazione sintetica) con particolare riferimento alle misure previste nel Piano e attuate, sia parzialmente idonea e dovrà ancora essere migliorata per adeguarla alla complessità dell'organizzazione e all'elevato numero di processi gestiti.</w:t>
      </w:r>
    </w:p>
    <w:p>
      <w:pPr>
        <w:pStyle w:val="Normal"/>
        <w:jc w:val="both"/>
        <w:rPr/>
      </w:pPr>
      <w:r>
        <w:rPr/>
        <w:t>Si ritiene che l'esercizio del ruolo di impulso e coordinamento del RPCT rispetto alla messa in atto del processo di gestione del rischio (definito attraverso una valutazione sintetica) sia stato idoneo. Il RPCT attraverso l'aggiornamento dei processi mappati e la formazione, ha cercato di dare il massimo impulso alle attività connesse all'attuazione degli obiettivi del PTPCT/PIAO compatibilmente con le risorse a disposizione.</w:t>
      </w:r>
    </w:p>
    <w:p>
      <w:pPr>
        <w:pStyle w:val="Normal"/>
        <w:jc w:val="both"/>
        <w:rPr/>
      </w:pPr>
      <w:r>
        <w:rPr/>
      </w:r>
    </w:p>
    <w:p>
      <w:pPr>
        <w:pStyle w:val="Titolo1"/>
        <w:rPr/>
      </w:pPr>
      <w:bookmarkStart w:id="50" w:name="__RefHeading___Toc3305_191163200"/>
      <w:bookmarkStart w:id="51" w:name="_Toc88657669"/>
      <w:bookmarkEnd w:id="50"/>
      <w:r>
        <w:rPr/>
        <w:t>MONITORAGGIO MISURE SPECIFICHE</w:t>
      </w:r>
      <w:bookmarkEnd w:id="51"/>
    </w:p>
    <w:p>
      <w:pPr>
        <w:pStyle w:val="Normal"/>
        <w:rPr/>
      </w:pPr>
      <w:r>
        <w:rPr/>
      </w:r>
    </w:p>
    <w:p>
      <w:pPr>
        <w:pStyle w:val="Normal"/>
        <w:jc w:val="both"/>
        <w:rPr/>
      </w:pPr>
      <w:r>
        <w:rPr/>
        <w:t>Il presente allegato illustra l’andamento relativo all’attuazione delle singole misure specifiche programmate nell’anno di riferimento del PTPC.</w:t>
      </w:r>
    </w:p>
    <w:p>
      <w:pPr>
        <w:pStyle w:val="Normal"/>
        <w:rPr/>
      </w:pPr>
      <w:r>
        <w:rPr/>
      </w:r>
    </w:p>
    <w:p>
      <w:pPr>
        <w:pStyle w:val="Titolo2"/>
        <w:rPr/>
      </w:pPr>
      <w:bookmarkStart w:id="52" w:name="__RefHeading___Toc3307_191163200"/>
      <w:bookmarkStart w:id="53" w:name="_Toc88657670"/>
      <w:bookmarkEnd w:id="52"/>
      <w:r>
        <w:rPr/>
        <w:t>Misure specifiche di controllo</w:t>
      </w:r>
      <w:bookmarkEnd w:id="53"/>
    </w:p>
    <w:p>
      <w:pPr>
        <w:pStyle w:val="Normal"/>
        <w:rPr/>
      </w:pPr>
      <w:r>
        <w:rPr/>
      </w:r>
    </w:p>
    <w:p>
      <w:pPr>
        <w:pStyle w:val="Normal"/>
        <w:jc w:val="both"/>
        <w:rPr/>
      </w:pPr>
      <w:r>
        <w:rPr/>
        <w:t>Con riferimento all’attuazione delle misure specifiche di controllo, nell’anno di riferimento del PTPCT e della sezione Anticorruzione e Trasparenza del PIAO si evidenzia quanto segue:</w:t>
      </w:r>
    </w:p>
    <w:p>
      <w:pPr>
        <w:pStyle w:val="Normal"/>
        <w:jc w:val="both"/>
        <w:rPr/>
      </w:pPr>
      <w:r>
        <w:rPr/>
        <w:t>-  Numero di misure programmate: 22;</w:t>
      </w:r>
    </w:p>
    <w:p>
      <w:pPr>
        <w:pStyle w:val="Normal"/>
        <w:jc w:val="both"/>
        <w:rPr/>
      </w:pPr>
      <w:r>
        <w:rPr/>
        <w:t>-  Numero di misure attuate nei tempi previsti: 20;</w:t>
      </w:r>
    </w:p>
    <w:p>
      <w:pPr>
        <w:pStyle w:val="Normal"/>
        <w:jc w:val="both"/>
        <w:rPr/>
      </w:pPr>
      <w:r>
        <w:rPr/>
        <w:t>-  Numero di misure non attuate: 2.</w:t>
      </w:r>
    </w:p>
    <w:p>
      <w:pPr>
        <w:pStyle w:val="Normal"/>
        <w:jc w:val="both"/>
        <w:rPr/>
      </w:pPr>
      <w:r>
        <w:rPr/>
        <w:t>In particolare, per quanto riguarda le misure specifiche di controllo non attuate si evidenzia che 2 misure sono attualmente in corso di adozione.</w:t>
      </w:r>
    </w:p>
    <w:p>
      <w:pPr>
        <w:pStyle w:val="Normal"/>
        <w:jc w:val="both"/>
        <w:rPr/>
      </w:pPr>
      <w:r>
        <w:rPr/>
        <w:t xml:space="preserve">Di seguito si fornisce il dettaglio del monitoraggio per ogni singola misura di controllo programmata. </w:t>
        <w:br/>
      </w:r>
    </w:p>
    <w:p>
      <w:pPr>
        <w:pStyle w:val="Normal"/>
        <w:jc w:val="both"/>
        <w:rPr/>
      </w:pPr>
      <w:r>
        <w:rPr/>
        <w:t>Area di rischio: B. Provvedimenti ampliativi della sfera giuridica senza effetto economico diretto ed immediato (es. autorizzazioni e concessioni, etc.).</w:t>
      </w:r>
    </w:p>
    <w:p>
      <w:pPr>
        <w:pStyle w:val="Normal"/>
        <w:jc w:val="both"/>
        <w:rPr/>
      </w:pPr>
      <w:r>
        <w:rPr/>
        <w:t>Denominazione misura: MEDFISI001 - L'individuazione delle cartelle cliniche da controllare continua a non essere demandata alla struttura interessata, ma viene stabilita, con il sistema di sorteggio, da un elenco predisposto prima del controllo della struttura stessa che conterrà l'indicazione del campione tra tutte le cartelle dei pazienti trattati nel semestre precedente.</w:t>
      </w:r>
    </w:p>
    <w:p>
      <w:pPr>
        <w:pStyle w:val="Normal"/>
        <w:jc w:val="both"/>
        <w:rPr>
          <w:highlight w:val="none"/>
          <w:shd w:fill="auto" w:val="clear"/>
        </w:rPr>
      </w:pPr>
      <w:r>
        <w:rPr>
          <w:shd w:fill="auto" w:val="clear"/>
        </w:rPr>
        <w:t>La misura non è stata attuata, ma sono state avviate le attività ed è attualmente in corso di adozione.</w:t>
      </w:r>
    </w:p>
    <w:p>
      <w:pPr>
        <w:pStyle w:val="Normal"/>
        <w:jc w:val="both"/>
        <w:rPr/>
      </w:pPr>
      <w:r>
        <w:rPr/>
        <w:br/>
        <w:t>Area di rischio: B. Provvedimenti ampliativi della sfera giuridica senza effetto economico diretto ed immediato (es. autorizzazioni e concessioni, etc.).</w:t>
      </w:r>
    </w:p>
    <w:p>
      <w:pPr>
        <w:pStyle w:val="Normal"/>
        <w:jc w:val="both"/>
        <w:rPr/>
      </w:pPr>
      <w:r>
        <w:rPr/>
        <w:t>Denominazione misura: PREVEN010 - Verifica a campione presenza fatturazione.</w:t>
      </w:r>
    </w:p>
    <w:p>
      <w:pPr>
        <w:pStyle w:val="Normal"/>
        <w:jc w:val="both"/>
        <w:rPr/>
      </w:pPr>
      <w:r>
        <w:rPr/>
        <w:t>La misura è stata attuata nei tempi previsti.</w:t>
      </w:r>
    </w:p>
    <w:p>
      <w:pPr>
        <w:pStyle w:val="Normal"/>
        <w:jc w:val="both"/>
        <w:rPr/>
      </w:pPr>
      <w:r>
        <w:rPr/>
      </w:r>
    </w:p>
    <w:p>
      <w:pPr>
        <w:pStyle w:val="Normal"/>
        <w:jc w:val="both"/>
        <w:rPr/>
      </w:pPr>
      <w:r>
        <w:rPr/>
        <w:t>Area di rischio: B. Provvedimenti ampliativi della sfera giuridica senza effetto economico diretto ed immediato (es. autorizzazioni e concessioni, etc.)</w:t>
      </w:r>
    </w:p>
    <w:p>
      <w:pPr>
        <w:pStyle w:val="Normal"/>
        <w:jc w:val="both"/>
        <w:rPr/>
      </w:pPr>
      <w:r>
        <w:rPr/>
        <w:t>Denominazione misura: PREVEN010 - Applicazione della DGRT 1012/2015 attraverso l'analisi del rischio e correlata programmazione di attività di supervisione professionale, analisi e valutazione delle risultanze scaturite dall'attività di supervisione professionale. Rif. Anche: PS.DPREV.05 rev.0 del 23.05.17.</w:t>
      </w:r>
    </w:p>
    <w:p>
      <w:pPr>
        <w:pStyle w:val="Normal"/>
        <w:jc w:val="both"/>
        <w:rPr/>
      </w:pPr>
      <w:r>
        <w:rPr/>
        <w:t>La misura è stata attuata nei tempi previsti.</w:t>
      </w:r>
    </w:p>
    <w:p>
      <w:pPr>
        <w:pStyle w:val="Normal"/>
        <w:jc w:val="both"/>
        <w:rPr/>
      </w:pPr>
      <w:r>
        <w:rPr/>
        <w:br/>
        <w:t>Area di rischio: C. Provvedimenti ampliativi della sfera giuridica con effetto economico diretto ed immediato (es. erogazione di sovvenzioni, contributi, sussidi, etc.).</w:t>
      </w:r>
    </w:p>
    <w:p>
      <w:pPr>
        <w:pStyle w:val="Normal"/>
        <w:jc w:val="both"/>
        <w:rPr/>
      </w:pPr>
      <w:r>
        <w:rPr/>
        <w:t>Denominazione misura: DECENT001 - Elaborazione procedura per strumenti di guida e metodo Fay – Doman che definisca modalità e tempistica dell’attività svolta dagli Uffici. Attività di condivisione tra tutte le strutture/Uffici coinvolti per uniformare tramite procedure la gestione e la tempistica delle attività.</w:t>
      </w:r>
    </w:p>
    <w:p>
      <w:pPr>
        <w:pStyle w:val="Normal"/>
        <w:jc w:val="both"/>
        <w:rPr/>
      </w:pPr>
      <w:r>
        <w:rPr/>
        <w:t>La misura è stata attuata nei tempi previsti.</w:t>
      </w:r>
    </w:p>
    <w:p>
      <w:pPr>
        <w:pStyle w:val="Normal"/>
        <w:jc w:val="both"/>
        <w:rPr/>
      </w:pPr>
      <w:r>
        <w:rPr/>
        <w:br/>
        <w:t>Area di rischio: C. Provvedimenti ampliativi della sfera giuridica con effetto economico diretto ed immediato (es. erogazione di sovvenzioni, contributi, sussidi, etc.).</w:t>
      </w:r>
    </w:p>
    <w:p>
      <w:pPr>
        <w:pStyle w:val="Normal"/>
        <w:jc w:val="both"/>
        <w:rPr/>
      </w:pPr>
      <w:r>
        <w:rPr/>
        <w:t>Denominazione misura: DECENT002 - Elaborazione nuova procedura per soggiorni climatici  che definisca modalità e tempistica dell’attività svolta dagli Uffici. Attività di condivisione tra tutte le strutture/Uffici coinvolti per uniformare tramite procedure la gestione e la tempistica delle attività.</w:t>
      </w:r>
    </w:p>
    <w:p>
      <w:pPr>
        <w:pStyle w:val="Normal"/>
        <w:jc w:val="both"/>
        <w:rPr/>
      </w:pPr>
      <w:r>
        <w:rPr/>
        <w:t>La misura è stata attuata nei tempi previsti.</w:t>
      </w:r>
    </w:p>
    <w:p>
      <w:pPr>
        <w:pStyle w:val="Normal"/>
        <w:jc w:val="both"/>
        <w:rPr/>
      </w:pPr>
      <w:r>
        <w:rPr/>
        <w:br/>
        <w:t>Area di rischio: C. Provvedimenti ampliativi della sfera giuridica con effetto economico diretto ed immediato (es. erogazione di sovvenzioni, contributi, sussidi, etc.)</w:t>
      </w:r>
    </w:p>
    <w:p>
      <w:pPr>
        <w:pStyle w:val="Normal"/>
        <w:jc w:val="both"/>
        <w:rPr/>
      </w:pPr>
      <w:r>
        <w:rPr/>
        <w:t>Denominazione misura: DECENT003 - Monitoraggio trimestrale effettuato dall’Ufficio rette con il Responsabile/PO/Direttore di Zona per la verifica della corretta applicazione dei criteri previsti per l’inserimento nella lista di attesa.</w:t>
      </w:r>
    </w:p>
    <w:p>
      <w:pPr>
        <w:pStyle w:val="Normal"/>
        <w:jc w:val="both"/>
        <w:rPr/>
      </w:pPr>
      <w:r>
        <w:rPr/>
        <w:t>La misura è stata attuata nei tempi previsti.</w:t>
      </w:r>
    </w:p>
    <w:p>
      <w:pPr>
        <w:pStyle w:val="Normal"/>
        <w:jc w:val="both"/>
        <w:rPr/>
      </w:pPr>
      <w:r>
        <w:rPr/>
        <w:br/>
        <w:t>Area di rischio: C. Provvedimenti ampliativi della sfera giuridica con effetto economico diretto ed immediato (es. erogazione di sovvenzioni, contributi, sussidi, etc.).</w:t>
      </w:r>
    </w:p>
    <w:p>
      <w:pPr>
        <w:pStyle w:val="Normal"/>
        <w:jc w:val="both"/>
        <w:rPr/>
      </w:pPr>
      <w:r>
        <w:rPr/>
        <w:t>Denominazione misura: DECENT003 - Monitoraggio trimestrale effettuato dall’Ufficio rette con il Responsabile/PO/Direttore di Zona per la verifica del corretta inserimento dell’avente diritto nella RSA/RSD.</w:t>
      </w:r>
    </w:p>
    <w:p>
      <w:pPr>
        <w:pStyle w:val="Normal"/>
        <w:jc w:val="both"/>
        <w:rPr/>
      </w:pPr>
      <w:r>
        <w:rPr/>
        <w:t>La misura è stata attuata nei tempi previsti.</w:t>
      </w:r>
    </w:p>
    <w:p>
      <w:pPr>
        <w:pStyle w:val="Normal"/>
        <w:jc w:val="both"/>
        <w:rPr/>
      </w:pPr>
      <w:r>
        <w:rPr/>
        <w:br/>
        <w:t>Area di rischio: C. Provvedimenti ampliativi della sfera giuridica con effetto economico diretto ed immediato (es. erogazione di sovvenzioni, contributi, sussidi, etc.).</w:t>
      </w:r>
    </w:p>
    <w:p>
      <w:pPr>
        <w:pStyle w:val="Normal"/>
        <w:jc w:val="both"/>
        <w:rPr/>
      </w:pPr>
      <w:r>
        <w:rPr/>
        <w:t>Denominazione misura: DECENT001 - Ai sensi del DPR n. 445/2000 adozione di un Regolamento dei controlli sulle dichiarazioni sostitutive di certificazioni/atti di notorietà sui contributi/assegni di cura riconosciuti.</w:t>
      </w:r>
    </w:p>
    <w:p>
      <w:pPr>
        <w:pStyle w:val="Normal"/>
        <w:jc w:val="both"/>
        <w:rPr/>
      </w:pPr>
      <w:r>
        <w:rPr/>
        <w:t>La misura è stata attuata nei tempi previsti.</w:t>
      </w:r>
    </w:p>
    <w:p>
      <w:pPr>
        <w:pStyle w:val="Normal"/>
        <w:jc w:val="both"/>
        <w:rPr/>
      </w:pPr>
      <w:r>
        <w:rPr/>
        <w:br/>
        <w:t>Area di rischio: F. Gestione delle entrate, delle spese e del patrimonio.</w:t>
      </w:r>
    </w:p>
    <w:p>
      <w:pPr>
        <w:pStyle w:val="Normal"/>
        <w:jc w:val="both"/>
        <w:rPr/>
      </w:pPr>
      <w:r>
        <w:rPr/>
        <w:t>Denominazione misura: APICDG001 - Non essendo percorribile la strada dell'integrazione dei software gestionali dei servizi richiedenti e della struttura che deve emettere la fattura, si previene il rischio attraverso misure di tracciabilità.</w:t>
      </w:r>
    </w:p>
    <w:p>
      <w:pPr>
        <w:pStyle w:val="Normal"/>
        <w:jc w:val="both"/>
        <w:rPr/>
      </w:pPr>
      <w:r>
        <w:rPr/>
        <w:t>La misura è stata attuata nei tempi previsti.</w:t>
      </w:r>
    </w:p>
    <w:p>
      <w:pPr>
        <w:pStyle w:val="Normal"/>
        <w:jc w:val="both"/>
        <w:rPr/>
      </w:pPr>
      <w:r>
        <w:rPr/>
        <w:br/>
        <w:t>Area di rischio: F. Gestione delle entrate, delle spese e del patrimonio.</w:t>
      </w:r>
    </w:p>
    <w:p>
      <w:pPr>
        <w:pStyle w:val="Normal"/>
        <w:jc w:val="both"/>
        <w:rPr/>
      </w:pPr>
      <w:r>
        <w:rPr/>
        <w:t>Denominazione misura: APICDG002 - Prevedere un sistema di regolamentazione/controllo interno al processo sulle decisioni/attività che metta a confronto la data di liquidazione della fattura (Abbinamento Fattura/Ricevimento) con la data di emissione del mandato di pagamento.</w:t>
      </w:r>
    </w:p>
    <w:p>
      <w:pPr>
        <w:pStyle w:val="Normal"/>
        <w:jc w:val="both"/>
        <w:rPr/>
      </w:pPr>
      <w:r>
        <w:rPr/>
        <w:t>La misura non è stata attuata, ma sono state avviate le attività ed è attualmente in corso di adozione.</w:t>
      </w:r>
    </w:p>
    <w:p>
      <w:pPr>
        <w:pStyle w:val="Normal"/>
        <w:jc w:val="both"/>
        <w:rPr/>
      </w:pPr>
      <w:r>
        <w:rPr/>
        <w:br/>
        <w:t>Area di rischio: F. Gestione delle entrate, delle spese e del patrimonio.</w:t>
      </w:r>
    </w:p>
    <w:p>
      <w:pPr>
        <w:pStyle w:val="Normal"/>
        <w:jc w:val="both"/>
        <w:rPr/>
      </w:pPr>
      <w:r>
        <w:rPr/>
        <w:t>Denominazione misura: ARETEC006 - Per le procedure di alienazione di beni di valore di alienazione superiore a € 5.000,00 dovrà essere prevista una commissione di valutazione composta dal Direttore della SOC Patrimonio o suo delegato e da componenti delle strutture competenti per tipologia di beni, che indichi in maniera congiunta il valore residuo minimo dei beni, esplicitandone le motivazioni in un documento interno.</w:t>
      </w:r>
    </w:p>
    <w:p>
      <w:pPr>
        <w:pStyle w:val="Normal"/>
        <w:jc w:val="both"/>
        <w:rPr/>
      </w:pPr>
      <w:r>
        <w:rPr/>
        <w:t>La misura è stata attuata nei tempi previsti.</w:t>
      </w:r>
    </w:p>
    <w:p>
      <w:pPr>
        <w:pStyle w:val="Normal"/>
        <w:jc w:val="both"/>
        <w:rPr/>
      </w:pPr>
      <w:r>
        <w:rPr/>
        <w:br/>
        <w:t>Area di rischio: G. Controlli, verifiche, ispezioni e sanzioni.</w:t>
      </w:r>
    </w:p>
    <w:p>
      <w:pPr>
        <w:pStyle w:val="Normal"/>
        <w:jc w:val="both"/>
        <w:rPr/>
      </w:pPr>
      <w:r>
        <w:rPr/>
        <w:t>Denominazione misura: PREVEN002 - Applicazione della DGRT 1012/2015 attraverso l'analisi del rischio e correlata programmazione di attività di supervisione professionale, analisi e valutazione delle risultanze scaturite dall'attività di supervisione professionale.</w:t>
      </w:r>
    </w:p>
    <w:p>
      <w:pPr>
        <w:pStyle w:val="Normal"/>
        <w:jc w:val="both"/>
        <w:rPr/>
      </w:pPr>
      <w:r>
        <w:rPr/>
        <w:t>La misura è stata attuata nei tempi previsti.</w:t>
      </w:r>
    </w:p>
    <w:p>
      <w:pPr>
        <w:pStyle w:val="Normal"/>
        <w:jc w:val="both"/>
        <w:rPr/>
      </w:pPr>
      <w:r>
        <w:rPr/>
        <w:br/>
        <w:t>Area di rischio: G. Controlli, verifiche, ispezioni e sanzioni.</w:t>
      </w:r>
    </w:p>
    <w:p>
      <w:pPr>
        <w:pStyle w:val="Normal"/>
        <w:jc w:val="both"/>
        <w:rPr/>
      </w:pPr>
      <w:r>
        <w:rPr/>
        <w:t>Denominazione misura: PREVEN004 - Audit interni e di supervisione professionale a cura delle strutture del SGQ del Dipartimento della Prevenzione e dei Direttori delle UUOO Professionali.</w:t>
      </w:r>
    </w:p>
    <w:p>
      <w:pPr>
        <w:pStyle w:val="Normal"/>
        <w:jc w:val="both"/>
        <w:rPr/>
      </w:pPr>
      <w:r>
        <w:rPr/>
        <w:t>La misura è stata attuata nei tempi previsti.</w:t>
      </w:r>
    </w:p>
    <w:p>
      <w:pPr>
        <w:pStyle w:val="Normal"/>
        <w:jc w:val="both"/>
        <w:rPr/>
      </w:pPr>
      <w:r>
        <w:rPr/>
        <w:br/>
        <w:t>Area di rischio: I. Farmaceutica.</w:t>
      </w:r>
    </w:p>
    <w:p>
      <w:pPr>
        <w:pStyle w:val="Normal"/>
        <w:jc w:val="both"/>
        <w:rPr/>
      </w:pPr>
      <w:r>
        <w:rPr/>
        <w:t>Denominazione misura: STAFDA001 - Approvazione di una istruzione operativa che definisca le modalità con cui effettuare i controlli a campione sulle ricette non segnalate come anomale dalla lettura ottica con la partecipazione di un farmacista della SOS Farmaceutica Convenzionata.</w:t>
      </w:r>
    </w:p>
    <w:p>
      <w:pPr>
        <w:pStyle w:val="Normal"/>
        <w:jc w:val="both"/>
        <w:rPr/>
      </w:pPr>
      <w:r>
        <w:rPr/>
        <w:t>La misura è stata attuata nei tempi previsti.</w:t>
      </w:r>
    </w:p>
    <w:p>
      <w:pPr>
        <w:pStyle w:val="Normal"/>
        <w:jc w:val="both"/>
        <w:rPr/>
      </w:pPr>
      <w:r>
        <w:rPr/>
        <w:br/>
        <w:t>Area di rischio: L. Attività libero professionale.</w:t>
      </w:r>
    </w:p>
    <w:p>
      <w:pPr>
        <w:pStyle w:val="Normal"/>
        <w:jc w:val="both"/>
        <w:rPr/>
      </w:pPr>
      <w:r>
        <w:rPr/>
        <w:t>Denominazione misura: RISUMA004 - Definire una istruzione interna per effettuare: - La verifica della situazione giuridica dichiarata sul modulo - La verifica delle variazioni giuridiche del personale Dipendente.</w:t>
      </w:r>
    </w:p>
    <w:p>
      <w:pPr>
        <w:pStyle w:val="Normal"/>
        <w:jc w:val="both"/>
        <w:rPr/>
      </w:pPr>
      <w:r>
        <w:rPr/>
        <w:t>La misura è stata attuata nei tempi previsti.</w:t>
      </w:r>
    </w:p>
    <w:p>
      <w:pPr>
        <w:pStyle w:val="Normal"/>
        <w:jc w:val="both"/>
        <w:rPr/>
      </w:pPr>
      <w:r>
        <w:rPr/>
        <w:br/>
        <w:t>Area di rischio: L. Attività libero professionale.</w:t>
      </w:r>
    </w:p>
    <w:p>
      <w:pPr>
        <w:pStyle w:val="Normal"/>
        <w:jc w:val="both"/>
        <w:rPr/>
      </w:pPr>
      <w:r>
        <w:rPr/>
        <w:t>Denominazione misura: RISUMA004 - Definire una istruzione interna per definire i controlli ed i monitoraggi periodici. In particolare su come: - effettuare la verifica mensile delle variazioni giuridiche del personale dipendente che hanno un impatto sui requisiti indispensabili per esercitare la libera professione intramuraria.</w:t>
      </w:r>
    </w:p>
    <w:p>
      <w:pPr>
        <w:pStyle w:val="Normal"/>
        <w:jc w:val="both"/>
        <w:rPr/>
      </w:pPr>
      <w:r>
        <w:rPr/>
        <w:t>La misura è stata attuata nei tempi previsti.</w:t>
      </w:r>
    </w:p>
    <w:p>
      <w:pPr>
        <w:pStyle w:val="Normal"/>
        <w:jc w:val="both"/>
        <w:rPr/>
      </w:pPr>
      <w:r>
        <w:rPr/>
      </w:r>
    </w:p>
    <w:p>
      <w:pPr>
        <w:pStyle w:val="Normal"/>
        <w:jc w:val="both"/>
        <w:rPr/>
      </w:pPr>
      <w:r>
        <w:rPr/>
        <w:t>Area di rischio: L. Attività libero professionale.</w:t>
      </w:r>
    </w:p>
    <w:p>
      <w:pPr>
        <w:pStyle w:val="Normal"/>
        <w:jc w:val="both"/>
        <w:rPr/>
      </w:pPr>
      <w:r>
        <w:rPr/>
        <w:t>Denominazione misura: RISUMA006 - Definire una istruzione interna per effettuare: - La verifica della situazione giuridica dichiarata sul modulo - La verifica dell'iscrizione all'elenco nazionale dei medici competenti istituito presso il Ministero della Salute ai sensi dell'art. 38, comma 4 del D.Lgs. 81/2008; - La verifica delle variazioni giuridiche del personale dipendente.</w:t>
      </w:r>
    </w:p>
    <w:p>
      <w:pPr>
        <w:pStyle w:val="Normal"/>
        <w:jc w:val="both"/>
        <w:rPr/>
      </w:pPr>
      <w:r>
        <w:rPr/>
        <w:t>La misura è stata attuata nei tempi previsti.</w:t>
      </w:r>
    </w:p>
    <w:p>
      <w:pPr>
        <w:pStyle w:val="Normal"/>
        <w:jc w:val="both"/>
        <w:rPr/>
      </w:pPr>
      <w:r>
        <w:rPr/>
        <w:br/>
        <w:t>Area di rischio: L. Attività libero professionale.</w:t>
      </w:r>
    </w:p>
    <w:p>
      <w:pPr>
        <w:pStyle w:val="Normal"/>
        <w:jc w:val="both"/>
        <w:rPr/>
      </w:pPr>
      <w:r>
        <w:rPr/>
        <w:t>Denominazione misura: RISUMA006 - Definire una istruzione interna per definire i controlli ed i monitoraggi periodici.In particolare su come:effettuare la verifica mensile delle variaz. giuridiche del pers. dipendente che hanno un impatto sui requisiti indispensabili per esercitare la libera professione intramuraria-effettuare un controllo annuale sul permanere dell'iscrizione all'elenco nazionale dei medici competenti.</w:t>
      </w:r>
    </w:p>
    <w:p>
      <w:pPr>
        <w:pStyle w:val="Normal"/>
        <w:jc w:val="both"/>
        <w:rPr/>
      </w:pPr>
      <w:r>
        <w:rPr/>
        <w:t>La misura è stata attuata nei tempi previsti.</w:t>
      </w:r>
    </w:p>
    <w:p>
      <w:pPr>
        <w:pStyle w:val="Normal"/>
        <w:jc w:val="both"/>
        <w:rPr/>
      </w:pPr>
      <w:r>
        <w:rPr/>
        <w:br/>
        <w:t>Area di rischio: S. Farmaceutica, dispositivi e altre tecnologie - Sperimentazioni cliniche.</w:t>
      </w:r>
    </w:p>
    <w:p>
      <w:pPr>
        <w:pStyle w:val="Normal"/>
        <w:jc w:val="both"/>
        <w:rPr/>
      </w:pPr>
      <w:r>
        <w:rPr/>
        <w:t>Denominazione misura: STAFDS003 - Integrare la procedura per l'emissione del parere di fattibilità locale con una valutazione oggettiva basata su indicatori del possibile rischio corruttivo.</w:t>
      </w:r>
    </w:p>
    <w:p>
      <w:pPr>
        <w:pStyle w:val="Normal"/>
        <w:jc w:val="both"/>
        <w:rPr/>
      </w:pPr>
      <w:r>
        <w:rPr/>
        <w:t>La misura è stata attuata nei tempi previsti.</w:t>
      </w:r>
    </w:p>
    <w:p>
      <w:pPr>
        <w:pStyle w:val="Normal"/>
        <w:jc w:val="both"/>
        <w:rPr/>
      </w:pPr>
      <w:r>
        <w:rPr/>
      </w:r>
    </w:p>
    <w:p>
      <w:pPr>
        <w:pStyle w:val="Titolo2"/>
        <w:rPr/>
      </w:pPr>
      <w:bookmarkStart w:id="54" w:name="__RefHeading___Toc3309_191163200"/>
      <w:bookmarkStart w:id="55" w:name="_Toc88657671"/>
      <w:bookmarkEnd w:id="54"/>
      <w:r>
        <w:rPr/>
        <w:t>Misure specifiche di trasparenza</w:t>
      </w:r>
      <w:bookmarkEnd w:id="55"/>
    </w:p>
    <w:p>
      <w:pPr>
        <w:pStyle w:val="Normal"/>
        <w:rPr/>
      </w:pPr>
      <w:r>
        <w:rPr/>
      </w:r>
    </w:p>
    <w:p>
      <w:pPr>
        <w:pStyle w:val="Normal"/>
        <w:jc w:val="both"/>
        <w:rPr/>
      </w:pPr>
      <w:r>
        <w:rPr/>
        <w:t>Con riferimento all’attuazione delle misure specifiche di trasparenza, nell’anno di riferimento del PTPCT e della sezione Anticorruzione e Trasparenza del PIAO si evidenzia quanto segue:</w:t>
      </w:r>
    </w:p>
    <w:p>
      <w:pPr>
        <w:pStyle w:val="Normal"/>
        <w:jc w:val="both"/>
        <w:rPr/>
      </w:pPr>
      <w:r>
        <w:rPr/>
        <w:t>-  Numero di misure programmate: 2;</w:t>
      </w:r>
    </w:p>
    <w:p>
      <w:pPr>
        <w:pStyle w:val="Normal"/>
        <w:jc w:val="both"/>
        <w:rPr/>
      </w:pPr>
      <w:r>
        <w:rPr/>
        <w:t>-  Numero di misure attuate nei tempi previsti: 0;</w:t>
      </w:r>
    </w:p>
    <w:p>
      <w:pPr>
        <w:pStyle w:val="Normal"/>
        <w:jc w:val="both"/>
        <w:rPr/>
      </w:pPr>
      <w:r>
        <w:rPr/>
        <w:t>-  Numero di misure non attuate: 2.</w:t>
      </w:r>
    </w:p>
    <w:p>
      <w:pPr>
        <w:pStyle w:val="Normal"/>
        <w:jc w:val="both"/>
        <w:rPr/>
      </w:pPr>
      <w:r>
        <w:rPr/>
        <w:t>In particolare, per quanto riguarda le misure specifiche di trasparenza non attuate si evidenzia che 2 misure sono attualmente in corso di adozione.</w:t>
      </w:r>
    </w:p>
    <w:p>
      <w:pPr>
        <w:pStyle w:val="Normal"/>
        <w:jc w:val="both"/>
        <w:rPr/>
      </w:pPr>
      <w:r>
        <w:rPr/>
        <w:t xml:space="preserve">Di seguito si fornisce il dettaglio del monitoraggio per ogni singola misura di trasparenza programmata. </w:t>
        <w:br/>
        <w:br/>
        <w:t>Area di rischio: E. Incarichi e nomine.</w:t>
      </w:r>
    </w:p>
    <w:p>
      <w:pPr>
        <w:pStyle w:val="Normal"/>
        <w:jc w:val="both"/>
        <w:rPr/>
      </w:pPr>
      <w:r>
        <w:rPr/>
        <w:t>Denominazione misura: PREVEN011 - Pubblicazione sistematica della richiesta di disponibilità di Professionisti interni su applicativi aziendali (Dedalus).</w:t>
      </w:r>
    </w:p>
    <w:p>
      <w:pPr>
        <w:pStyle w:val="Normal"/>
        <w:jc w:val="both"/>
        <w:rPr/>
      </w:pPr>
      <w:r>
        <w:rPr/>
        <w:t>La misura non è stata attuata, ma sono state avviate le attività ed è attualmente in corso di adozione.</w:t>
      </w:r>
    </w:p>
    <w:p>
      <w:pPr>
        <w:pStyle w:val="Normal"/>
        <w:jc w:val="both"/>
        <w:rPr/>
      </w:pPr>
      <w:r>
        <w:rPr/>
      </w:r>
    </w:p>
    <w:p>
      <w:pPr>
        <w:pStyle w:val="Normal"/>
        <w:jc w:val="both"/>
        <w:rPr/>
      </w:pPr>
      <w:r>
        <w:rPr/>
        <w:t>Area di rischio: E. Incarichi e nomine.</w:t>
      </w:r>
    </w:p>
    <w:p>
      <w:pPr>
        <w:pStyle w:val="Normal"/>
        <w:jc w:val="both"/>
        <w:rPr/>
      </w:pPr>
      <w:r>
        <w:rPr/>
        <w:t>Denominazione misura: PREVEN011 - Pubblicazione sistematica della richiesta di disponibilità di Professionisti esterni su piattaforma dedicata (START).</w:t>
      </w:r>
    </w:p>
    <w:p>
      <w:pPr>
        <w:pStyle w:val="Normal"/>
        <w:jc w:val="both"/>
        <w:rPr/>
      </w:pPr>
      <w:r>
        <w:rPr/>
        <w:t>La misura non è stata attuata, ma sono state avviate le attività ed è attualmente in corso di adozione.</w:t>
      </w:r>
    </w:p>
    <w:p>
      <w:pPr>
        <w:pStyle w:val="Normal"/>
        <w:rPr/>
      </w:pPr>
      <w:r>
        <w:rPr/>
      </w:r>
    </w:p>
    <w:p>
      <w:pPr>
        <w:pStyle w:val="Titolo2"/>
        <w:rPr/>
      </w:pPr>
      <w:bookmarkStart w:id="56" w:name="__RefHeading___Toc3311_191163200"/>
      <w:bookmarkStart w:id="57" w:name="_Toc88657672"/>
      <w:bookmarkEnd w:id="56"/>
      <w:r>
        <w:rPr/>
        <w:t>Misure specifiche di definizione e promozione dell’etica e di standard di comportamento</w:t>
      </w:r>
      <w:bookmarkEnd w:id="57"/>
    </w:p>
    <w:p>
      <w:pPr>
        <w:pStyle w:val="Normal"/>
        <w:rPr/>
      </w:pPr>
      <w:r>
        <w:rPr/>
      </w:r>
    </w:p>
    <w:p>
      <w:pPr>
        <w:pStyle w:val="Normal"/>
        <w:jc w:val="both"/>
        <w:rPr/>
      </w:pPr>
      <w:r>
        <w:rPr/>
        <w:t>Con riferimento all’attuazione delle misure specifiche di definizione e promozione dell’etica e di standard di comportamento, nell’anno di riferimento del PTPCT e della sezione Anticorruzione e Trasparenza del PIAO si evidenzia quanto segue:</w:t>
      </w:r>
    </w:p>
    <w:p>
      <w:pPr>
        <w:pStyle w:val="Normal"/>
        <w:jc w:val="both"/>
        <w:rPr/>
      </w:pPr>
      <w:r>
        <w:rPr/>
        <w:t>-  Numero di misure programmate: 5;</w:t>
      </w:r>
    </w:p>
    <w:p>
      <w:pPr>
        <w:pStyle w:val="Normal"/>
        <w:jc w:val="both"/>
        <w:rPr/>
      </w:pPr>
      <w:r>
        <w:rPr/>
        <w:t>-  Numero di misure attuate nei tempi previsti: 5;</w:t>
      </w:r>
    </w:p>
    <w:p>
      <w:pPr>
        <w:pStyle w:val="Normal"/>
        <w:jc w:val="both"/>
        <w:rPr/>
      </w:pPr>
      <w:r>
        <w:rPr/>
        <w:t>-  Numero di misure non attuate: 0.</w:t>
      </w:r>
    </w:p>
    <w:p>
      <w:pPr>
        <w:pStyle w:val="Normal"/>
        <w:jc w:val="both"/>
        <w:rPr/>
      </w:pPr>
      <w:r>
        <w:rPr/>
        <w:t>Di seguito si fornisce il dettaglio del monitoraggio per ogni singola misura di definizione e promozione dell’etica e di standard di comportamento programmata.</w:t>
      </w:r>
    </w:p>
    <w:p>
      <w:pPr>
        <w:pStyle w:val="Normal"/>
        <w:jc w:val="both"/>
        <w:rPr/>
      </w:pPr>
      <w:r>
        <w:rPr/>
        <w:br/>
        <w:t>Area di rischio: B. Provvedimenti ampliativi della sfera giuridica senza effetto economico diretto ed immediato (es. autorizzazioni e concessioni, etc.).</w:t>
      </w:r>
    </w:p>
    <w:p>
      <w:pPr>
        <w:pStyle w:val="Normal"/>
        <w:jc w:val="both"/>
        <w:rPr/>
      </w:pPr>
      <w:r>
        <w:rPr/>
        <w:t>Denominazione misura: PREVEN010 - Ogni operatore deve rilasciare annualmente al proprio RESP una dichiarazione nella quale si impegna a segnalare la presenza di conflitti di interesse anche potenziali rispetto all’attività assegnata.</w:t>
      </w:r>
    </w:p>
    <w:p>
      <w:pPr>
        <w:pStyle w:val="Normal"/>
        <w:jc w:val="both"/>
        <w:rPr/>
      </w:pPr>
      <w:r>
        <w:rPr/>
        <w:t>La misura è stata attuata nei tempi previsti.</w:t>
      </w:r>
    </w:p>
    <w:p>
      <w:pPr>
        <w:pStyle w:val="Normal"/>
        <w:jc w:val="both"/>
        <w:rPr/>
      </w:pPr>
      <w:r>
        <w:rPr/>
        <w:br/>
        <w:t>Area di rischio: G. Controlli, verifiche, ispezioni e sanzioni.</w:t>
      </w:r>
    </w:p>
    <w:p>
      <w:pPr>
        <w:pStyle w:val="Normal"/>
        <w:jc w:val="both"/>
        <w:rPr/>
      </w:pPr>
      <w:r>
        <w:rPr/>
        <w:t>Denominazione misura: PREVEN002 - Il RUF e suo delegato devono rilasciare annualmente al DIR una dichiarazione nella quale si impegnano a segnalare la presenza di conflitti di interesse anche potenziali rispetto all’attività assegnata.</w:t>
      </w:r>
    </w:p>
    <w:p>
      <w:pPr>
        <w:pStyle w:val="Normal"/>
        <w:jc w:val="both"/>
        <w:rPr/>
      </w:pPr>
      <w:r>
        <w:rPr/>
        <w:t>La misura è stata attuata nei tempi previsti.</w:t>
      </w:r>
    </w:p>
    <w:p>
      <w:pPr>
        <w:pStyle w:val="Normal"/>
        <w:jc w:val="both"/>
        <w:rPr/>
      </w:pPr>
      <w:r>
        <w:rPr/>
        <w:br/>
        <w:t>Area di rischio: G. Controlli, verifiche, ispezioni e sanzioni.</w:t>
      </w:r>
    </w:p>
    <w:p>
      <w:pPr>
        <w:pStyle w:val="Normal"/>
        <w:jc w:val="both"/>
        <w:rPr/>
      </w:pPr>
      <w:r>
        <w:rPr/>
        <w:t>Denominazione misura: PREVEN002 - Ogni operatore deve rilasciare annualmente al proprio RESP una dichiarazione nella quale si impegnano a segnalare la presenza di conflitti di interesse anche potenziali rispetto all’attività assegnata.</w:t>
      </w:r>
    </w:p>
    <w:p>
      <w:pPr>
        <w:pStyle w:val="Normal"/>
        <w:jc w:val="both"/>
        <w:rPr/>
      </w:pPr>
      <w:r>
        <w:rPr/>
        <w:t>La misura è stata attuata nei tempi previsti.</w:t>
      </w:r>
    </w:p>
    <w:p>
      <w:pPr>
        <w:pStyle w:val="Normal"/>
        <w:jc w:val="both"/>
        <w:rPr/>
      </w:pPr>
      <w:r>
        <w:rPr/>
        <w:br/>
        <w:t>Area di rischio: L. Attività libero professionale.</w:t>
      </w:r>
    </w:p>
    <w:p>
      <w:pPr>
        <w:pStyle w:val="Normal"/>
        <w:jc w:val="both"/>
        <w:rPr/>
      </w:pPr>
      <w:r>
        <w:rPr/>
        <w:t>Denominazione misura: RISUMA004 - L’amministrativo verifica che nell'atto negoziale siano riportate le previsioni relative alle norme di comportamento che prevedono che il professionista si attenga a determinate modalità di esecuzione della prestazione libero professionale.</w:t>
      </w:r>
    </w:p>
    <w:p>
      <w:pPr>
        <w:pStyle w:val="Normal"/>
        <w:jc w:val="both"/>
        <w:rPr/>
      </w:pPr>
      <w:r>
        <w:rPr/>
        <w:t>La misura è stata attuata nei tempi previsti.</w:t>
      </w:r>
    </w:p>
    <w:p>
      <w:pPr>
        <w:pStyle w:val="Normal"/>
        <w:rPr>
          <w:u w:val="single"/>
        </w:rPr>
      </w:pPr>
      <w:r>
        <w:rPr>
          <w:u w:val="single"/>
        </w:rPr>
      </w:r>
    </w:p>
    <w:p>
      <w:pPr>
        <w:pStyle w:val="Titolo2"/>
        <w:rPr/>
      </w:pPr>
      <w:bookmarkStart w:id="58" w:name="__RefHeading___Toc3313_191163200"/>
      <w:bookmarkStart w:id="59" w:name="_Toc88657673"/>
      <w:bookmarkEnd w:id="58"/>
      <w:r>
        <w:rPr/>
        <w:t>Misure specifiche di regolamentazione</w:t>
      </w:r>
      <w:bookmarkEnd w:id="59"/>
    </w:p>
    <w:p>
      <w:pPr>
        <w:pStyle w:val="Normal"/>
        <w:rPr>
          <w:u w:val="single"/>
        </w:rPr>
      </w:pPr>
      <w:r>
        <w:rPr>
          <w:u w:val="single"/>
        </w:rPr>
      </w:r>
    </w:p>
    <w:p>
      <w:pPr>
        <w:pStyle w:val="Normal"/>
        <w:jc w:val="both"/>
        <w:rPr>
          <w:u w:val="single"/>
        </w:rPr>
      </w:pPr>
      <w:r>
        <w:rPr/>
        <w:t>Con riferimento all’attuazione delle misure specifiche di regolamentazione, nell’anno di riferimento del PTPCT o della sezione Anticorruzione e Trasparenza del PIAO si evidenzia quanto segue:</w:t>
      </w:r>
    </w:p>
    <w:p>
      <w:pPr>
        <w:pStyle w:val="Normal"/>
        <w:jc w:val="both"/>
        <w:rPr>
          <w:u w:val="single"/>
        </w:rPr>
      </w:pPr>
      <w:r>
        <w:rPr/>
        <w:t>-  Numero di misure programmate: 19;</w:t>
      </w:r>
    </w:p>
    <w:p>
      <w:pPr>
        <w:pStyle w:val="Normal"/>
        <w:jc w:val="both"/>
        <w:rPr>
          <w:u w:val="single"/>
        </w:rPr>
      </w:pPr>
      <w:r>
        <w:rPr/>
        <w:t>-  Numero di misure attuate nei tempi previsti: 16;</w:t>
      </w:r>
    </w:p>
    <w:p>
      <w:pPr>
        <w:pStyle w:val="Normal"/>
        <w:jc w:val="both"/>
        <w:rPr>
          <w:u w:val="single"/>
        </w:rPr>
      </w:pPr>
      <w:r>
        <w:rPr/>
        <w:t>-  Numero di misure non attuate: 3.</w:t>
      </w:r>
    </w:p>
    <w:p>
      <w:pPr>
        <w:pStyle w:val="Normal"/>
        <w:jc w:val="both"/>
        <w:rPr>
          <w:u w:val="single"/>
        </w:rPr>
      </w:pPr>
      <w:r>
        <w:rPr/>
        <w:t>In particolare, per quanto riguarda le misure specifiche di regolamentazione non attuate si evidenzia che:</w:t>
      </w:r>
    </w:p>
    <w:p>
      <w:pPr>
        <w:pStyle w:val="Normal"/>
        <w:jc w:val="both"/>
        <w:rPr>
          <w:u w:val="single"/>
        </w:rPr>
      </w:pPr>
      <w:r>
        <w:rPr/>
        <w:t>-  1 misura è attualmente in corso di adozione;</w:t>
      </w:r>
    </w:p>
    <w:p>
      <w:pPr>
        <w:pStyle w:val="Normal"/>
        <w:jc w:val="both"/>
        <w:rPr>
          <w:u w:val="single"/>
        </w:rPr>
      </w:pPr>
      <w:r>
        <w:rPr/>
        <w:t>-  per 2 misure non sono state ancora avviate le attività per l’adozione e non saranno avviate nei tempi previsti dal PTPCT e dalla sezione Anticorruzione e Trasparenza del PIAO in quanto è in corso l’aggiornamento del processo e la riprogrammazione della misura, a cui verrà data attuazione nel corso del 2023.</w:t>
      </w:r>
    </w:p>
    <w:p>
      <w:pPr>
        <w:pStyle w:val="Normal"/>
        <w:jc w:val="both"/>
        <w:rPr>
          <w:u w:val="single"/>
        </w:rPr>
      </w:pPr>
      <w:r>
        <w:rPr/>
        <w:t>Di seguito si fornisce il dettaglio del monitoraggio per ogni singola misura di regolamentazione programmata.</w:t>
        <w:br/>
        <w:br/>
        <w:t>Area di rischio: C. Provvedimenti ampliativi della sfera giuridica con effetto economico diretto ed immediato (es. erogazione di sovvenzioni, contributi, sussidi, etc.).</w:t>
      </w:r>
    </w:p>
    <w:p>
      <w:pPr>
        <w:pStyle w:val="Normal"/>
        <w:jc w:val="both"/>
        <w:rPr>
          <w:u w:val="single"/>
        </w:rPr>
      </w:pPr>
      <w:r>
        <w:rPr/>
        <w:t>Denominazione misura: DECENT001 - Elaborazione procedura per strumenti di guida e metodo Fay – Doman che definisca modalità e tempistica dell’attività svolta dagli Uffici. Attività di condivisione tra tutte le strutture/Uffici coinvolti per uniformare tramite procedure la gestione e la tempistica delle attività.</w:t>
      </w:r>
    </w:p>
    <w:p>
      <w:pPr>
        <w:pStyle w:val="Normal"/>
        <w:jc w:val="both"/>
        <w:rPr>
          <w:u w:val="single"/>
        </w:rPr>
      </w:pPr>
      <w:r>
        <w:rPr/>
        <w:t>La misura è stata attuata nei tempi previsti.</w:t>
      </w:r>
    </w:p>
    <w:p>
      <w:pPr>
        <w:pStyle w:val="Normal"/>
        <w:jc w:val="both"/>
        <w:rPr>
          <w:u w:val="single"/>
        </w:rPr>
      </w:pPr>
      <w:r>
        <w:rPr/>
        <w:br/>
        <w:t>Area di rischio: C. Provvedimenti ampliativi della sfera giuridica con effetto economico diretto ed immediato (es. erogazione di sovvenzioni, contributi, sussidi, etc.).</w:t>
      </w:r>
    </w:p>
    <w:p>
      <w:pPr>
        <w:pStyle w:val="Normal"/>
        <w:jc w:val="both"/>
        <w:rPr>
          <w:u w:val="single"/>
        </w:rPr>
      </w:pPr>
      <w:r>
        <w:rPr/>
        <w:t>Denominazione misura: DECENT001 - Definizione della modulistica per la presentazione dell’istanza valida per tutti i servizi che contenga la dichiarazione sostitutiva ai sensi degli artt. 46/47 del DPR n. 445/2000.</w:t>
      </w:r>
    </w:p>
    <w:p>
      <w:pPr>
        <w:pStyle w:val="Normal"/>
        <w:jc w:val="both"/>
        <w:rPr>
          <w:u w:val="single"/>
        </w:rPr>
      </w:pPr>
      <w:r>
        <w:rPr/>
        <w:t>La misura è stata attuata nei tempi previsti.</w:t>
      </w:r>
    </w:p>
    <w:p>
      <w:pPr>
        <w:pStyle w:val="Normal"/>
        <w:jc w:val="both"/>
        <w:rPr>
          <w:u w:val="single"/>
        </w:rPr>
      </w:pPr>
      <w:r>
        <w:rPr/>
        <w:br/>
        <w:t>Area di rischio: C. Provvedimenti ampliativi della sfera giuridica con effetto economico diretto ed immediato (es. erogazione di sovvenzioni, contributi, sussidi, etc.).</w:t>
      </w:r>
    </w:p>
    <w:p>
      <w:pPr>
        <w:pStyle w:val="Normal"/>
        <w:jc w:val="both"/>
        <w:rPr>
          <w:u w:val="single"/>
        </w:rPr>
      </w:pPr>
      <w:r>
        <w:rPr/>
        <w:t>Denominazione misura: DECENT001 - Ai sensi del DPR n. 445/2000 adozione di un Regolamento dei controlli sulle dichiarazioni sostitutive di certificazioni/atti di notorietà sui contributi/assegni di cura riconosciuti.</w:t>
      </w:r>
    </w:p>
    <w:p>
      <w:pPr>
        <w:pStyle w:val="Normal"/>
        <w:jc w:val="both"/>
        <w:rPr>
          <w:u w:val="single"/>
        </w:rPr>
      </w:pPr>
      <w:r>
        <w:rPr/>
        <w:t>La misura è stata attuata nei tempi previsti.</w:t>
      </w:r>
    </w:p>
    <w:p>
      <w:pPr>
        <w:pStyle w:val="Normal"/>
        <w:jc w:val="both"/>
        <w:rPr>
          <w:u w:val="single"/>
        </w:rPr>
      </w:pPr>
      <w:r>
        <w:rPr/>
        <w:br/>
        <w:t>Area di rischio: C. Provvedimenti ampliativi della sfera giuridica con effetto economico diretto ed immediato (es. erogazione di sovvenzioni, contributi, sussidi, etc.).</w:t>
      </w:r>
    </w:p>
    <w:p>
      <w:pPr>
        <w:pStyle w:val="Normal"/>
        <w:jc w:val="both"/>
        <w:rPr>
          <w:u w:val="single"/>
        </w:rPr>
      </w:pPr>
      <w:r>
        <w:rPr/>
        <w:t>Denominazione misura: DECENT002 - Elaborazione nuova procedura per soggiorni climatici  che definisca modalità e tempistica dell’attività svolta dagli Uffici. Attività di condivisione tra tutte le strutture/Uffici coinvolti per uniformare tramite procedure la gestione e la tempistica delle attività.</w:t>
        <w:br/>
        <w:t>La misura è stata attuata nei tempi previsti.</w:t>
      </w:r>
    </w:p>
    <w:p>
      <w:pPr>
        <w:pStyle w:val="Normal"/>
        <w:jc w:val="both"/>
        <w:rPr>
          <w:u w:val="single"/>
        </w:rPr>
      </w:pPr>
      <w:r>
        <w:rPr/>
        <w:br/>
        <w:t>Area di rischio: C. Provvedimenti ampliativi della sfera giuridica con effetto economico diretto ed immediato (es. erogazione di sovvenzioni, contributi, sussidi, etc.).</w:t>
      </w:r>
    </w:p>
    <w:p>
      <w:pPr>
        <w:pStyle w:val="Normal"/>
        <w:jc w:val="both"/>
        <w:rPr>
          <w:u w:val="single"/>
        </w:rPr>
      </w:pPr>
      <w:r>
        <w:rPr/>
        <w:t>Denominazione misura: DECENT002 - Adozione di un Regolamento sui controlli</w:t>
        <w:br/>
        <w:t>La misura è stata attuata nei tempi previsti.</w:t>
      </w:r>
    </w:p>
    <w:p>
      <w:pPr>
        <w:pStyle w:val="Normal"/>
        <w:jc w:val="both"/>
        <w:rPr>
          <w:u w:val="single"/>
        </w:rPr>
      </w:pPr>
      <w:r>
        <w:rPr/>
        <w:br/>
      </w:r>
      <w:r>
        <w:rPr>
          <w:shd w:fill="auto" w:val="clear"/>
        </w:rPr>
        <w:t>Area di rischio: D.3 Contratti pubblici - Selezione del contraente.</w:t>
      </w:r>
    </w:p>
    <w:p>
      <w:pPr>
        <w:pStyle w:val="Normal"/>
        <w:jc w:val="both"/>
        <w:rPr>
          <w:highlight w:val="none"/>
          <w:shd w:fill="auto" w:val="clear"/>
        </w:rPr>
      </w:pPr>
      <w:r>
        <w:rPr>
          <w:shd w:fill="auto" w:val="clear"/>
        </w:rPr>
        <w:t>Denominazione misura: ARETEC001 - Integrazione della delibera 377 del 24/03/2022 specificando i criteri per assicurare la rotazione dei fornitori.</w:t>
      </w:r>
    </w:p>
    <w:p>
      <w:pPr>
        <w:pStyle w:val="Normal"/>
        <w:jc w:val="both"/>
        <w:rPr>
          <w:highlight w:val="none"/>
          <w:shd w:fill="auto" w:val="clear"/>
        </w:rPr>
      </w:pPr>
      <w:r>
        <w:rPr>
          <w:shd w:fill="auto" w:val="clear"/>
        </w:rPr>
        <w:t>La misura non è stata attuata, non sono state ancora avviate le attività per l’adozione e non saranno avviate nei tempi previsti dal PTPCT e dalla sezione Anticorruzione e Trasparenza del PIAO in quanto è in corso l’aggiornamento del processo e la riprogrammazione della misura, a cui verrà data attuazione nel corso del 2023.</w:t>
      </w:r>
    </w:p>
    <w:p>
      <w:pPr>
        <w:pStyle w:val="Normal"/>
        <w:jc w:val="both"/>
        <w:rPr>
          <w:u w:val="single"/>
        </w:rPr>
      </w:pPr>
      <w:r>
        <w:rPr/>
        <w:br/>
        <w:t>Area di rischio: D.3 Contratti pubblici - Selezione del contraente.</w:t>
      </w:r>
    </w:p>
    <w:p>
      <w:pPr>
        <w:pStyle w:val="Normal"/>
        <w:jc w:val="both"/>
        <w:rPr>
          <w:u w:val="single"/>
        </w:rPr>
      </w:pPr>
      <w:r>
        <w:rPr/>
        <w:t>Denominazione misura: ARETEC001 - Integrazione della Delibera DG 377 del 24/03/2022 con l’indicazione delle tempistiche minime per la presentazione dell’offerta.</w:t>
      </w:r>
    </w:p>
    <w:p>
      <w:pPr>
        <w:pStyle w:val="Normal"/>
        <w:jc w:val="both"/>
        <w:rPr>
          <w:u w:val="single"/>
        </w:rPr>
      </w:pPr>
      <w:r>
        <w:rPr>
          <w:shd w:fill="auto" w:val="clear"/>
        </w:rPr>
        <w:t>La misura non è stata attuata, non sono state ancora avviate le attività per l’adozione e non saranno avviate nei tempi previsti dal PTPCT e dalla sezione Anticorruzione e Trasparenza del PIAO in quanto è in corso l’aggiornamento del processo e la riprogrammazione della misura, a cui verrà data attuazione nel corso del 2023.</w:t>
      </w:r>
    </w:p>
    <w:p>
      <w:pPr>
        <w:pStyle w:val="Normal"/>
        <w:jc w:val="both"/>
        <w:rPr>
          <w:u w:val="single"/>
        </w:rPr>
      </w:pPr>
      <w:r>
        <w:rPr>
          <w:u w:val="single"/>
        </w:rPr>
      </w:r>
    </w:p>
    <w:p>
      <w:pPr>
        <w:pStyle w:val="Normal"/>
        <w:jc w:val="both"/>
        <w:rPr>
          <w:u w:val="single"/>
        </w:rPr>
      </w:pPr>
      <w:r>
        <w:rPr/>
        <w:t>Area di rischio: E. Incarichi e nomine.</w:t>
      </w:r>
    </w:p>
    <w:p>
      <w:pPr>
        <w:pStyle w:val="Normal"/>
        <w:jc w:val="both"/>
        <w:rPr>
          <w:u w:val="single"/>
        </w:rPr>
      </w:pPr>
      <w:r>
        <w:rPr/>
        <w:t>Denominazione misura: PREVEN011 - Redazione di specifica istruzione operativa ad integrazione della PST.DPREV.PS.01 "Percorsi educativi nelle scuole" per definire i criteri e le modalità per la selezione e qualificazione dei professionisti interni, compresa la pubblicizzazione della richiesta di adesioni e la rotazione dei professionisti.</w:t>
      </w:r>
    </w:p>
    <w:p>
      <w:pPr>
        <w:pStyle w:val="Normal"/>
        <w:jc w:val="both"/>
        <w:rPr>
          <w:u w:val="single"/>
        </w:rPr>
      </w:pPr>
      <w:r>
        <w:rPr/>
        <w:t>La misura è stata attuata nei tempi previsti.</w:t>
      </w:r>
    </w:p>
    <w:p>
      <w:pPr>
        <w:pStyle w:val="Normal"/>
        <w:jc w:val="both"/>
        <w:rPr>
          <w:u w:val="single"/>
        </w:rPr>
      </w:pPr>
      <w:r>
        <w:rPr/>
        <w:br/>
        <w:t>Area di rischio: F. Gestione delle entrate, delle spese e del patrimonio.</w:t>
      </w:r>
    </w:p>
    <w:p>
      <w:pPr>
        <w:pStyle w:val="Normal"/>
        <w:jc w:val="both"/>
        <w:rPr>
          <w:u w:val="single"/>
        </w:rPr>
      </w:pPr>
      <w:r>
        <w:rPr/>
        <w:t>Denominazione misura: APICDG002 - Prevedere un sistema di regolamentazione/controllo interno al processo sulle decisioni/attività che metta a confronto la data di liquidazione della fattura (Abbinamento Fattura/Ricevimento) con la data di emissione del mandato di pagamento.</w:t>
      </w:r>
    </w:p>
    <w:p>
      <w:pPr>
        <w:pStyle w:val="Normal"/>
        <w:jc w:val="both"/>
        <w:rPr>
          <w:u w:val="single"/>
        </w:rPr>
      </w:pPr>
      <w:r>
        <w:rPr/>
        <w:t>La misura non è stata attuata, ma sono state avviate le attività ed è attualmente in corso di adozione.</w:t>
      </w:r>
    </w:p>
    <w:p>
      <w:pPr>
        <w:pStyle w:val="Normal"/>
        <w:jc w:val="both"/>
        <w:rPr>
          <w:u w:val="single"/>
        </w:rPr>
      </w:pPr>
      <w:r>
        <w:rPr/>
        <w:br/>
        <w:t>Area di rischio: I. Farmaceutica.</w:t>
      </w:r>
    </w:p>
    <w:p>
      <w:pPr>
        <w:pStyle w:val="Normal"/>
        <w:jc w:val="both"/>
        <w:rPr>
          <w:u w:val="single"/>
        </w:rPr>
      </w:pPr>
      <w:r>
        <w:rPr/>
        <w:t>Denominazione misura: STAFDA001 - Approvazione di una istruzione operativa che definisca le modalità con cui effettuare i controlli a campione sulle ricette non segnalate come anomale dalla lettura ottica con la partecipazione di un farmacista della SOS Farmaceutica Convenzionata.</w:t>
      </w:r>
    </w:p>
    <w:p>
      <w:pPr>
        <w:pStyle w:val="Normal"/>
        <w:jc w:val="both"/>
        <w:rPr>
          <w:u w:val="single"/>
        </w:rPr>
      </w:pPr>
      <w:r>
        <w:rPr/>
        <w:t>La misura è stata attuata nei tempi previsti.</w:t>
      </w:r>
    </w:p>
    <w:p>
      <w:pPr>
        <w:pStyle w:val="Normal"/>
        <w:jc w:val="both"/>
        <w:rPr>
          <w:u w:val="single"/>
        </w:rPr>
      </w:pPr>
      <w:r>
        <w:rPr/>
        <w:br/>
        <w:t>Area di rischio: L. Attività libero professionale.</w:t>
      </w:r>
    </w:p>
    <w:p>
      <w:pPr>
        <w:pStyle w:val="Normal"/>
        <w:jc w:val="both"/>
        <w:rPr>
          <w:u w:val="single"/>
        </w:rPr>
      </w:pPr>
      <w:r>
        <w:rPr/>
        <w:t>Denominazione misura: RISUMA004 - Definire una istruzione interna per effettuare: - La verifica della situazione giuridica dichiarata sul modulo - La verifica delle variazioni giuridiche del personale Dipendente.</w:t>
      </w:r>
    </w:p>
    <w:p>
      <w:pPr>
        <w:pStyle w:val="Normal"/>
        <w:jc w:val="both"/>
        <w:rPr>
          <w:u w:val="single"/>
        </w:rPr>
      </w:pPr>
      <w:r>
        <w:rPr/>
        <w:t>La misura è stata attuata nei tempi previsti.</w:t>
      </w:r>
    </w:p>
    <w:p>
      <w:pPr>
        <w:pStyle w:val="Normal"/>
        <w:jc w:val="both"/>
        <w:rPr>
          <w:u w:val="single"/>
        </w:rPr>
      </w:pPr>
      <w:r>
        <w:rPr/>
        <w:br/>
        <w:t>Area di rischio: L. Attività libero professionale.</w:t>
      </w:r>
    </w:p>
    <w:p>
      <w:pPr>
        <w:pStyle w:val="Normal"/>
        <w:jc w:val="both"/>
        <w:rPr>
          <w:u w:val="single"/>
        </w:rPr>
      </w:pPr>
      <w:r>
        <w:rPr/>
        <w:t>Denominazione misura: RISUMA004 - Definire una istruzione interna per definire i controlli ed i monitoraggi periodici. In particolare su come: - effettuare la verifica mensile delle variazioni giuridiche del personale dipendente che hanno un impatto sui requisiti indispensabili per esercitare la libera professione intramuraria.</w:t>
      </w:r>
    </w:p>
    <w:p>
      <w:pPr>
        <w:pStyle w:val="Normal"/>
        <w:jc w:val="both"/>
        <w:rPr>
          <w:u w:val="single"/>
        </w:rPr>
      </w:pPr>
      <w:r>
        <w:rPr/>
        <w:t>La misura è stata attuata nei tempi previsti.</w:t>
      </w:r>
    </w:p>
    <w:p>
      <w:pPr>
        <w:pStyle w:val="Normal"/>
        <w:jc w:val="both"/>
        <w:rPr>
          <w:u w:val="single"/>
        </w:rPr>
      </w:pPr>
      <w:r>
        <w:rPr/>
        <w:br/>
        <w:t>Area di rischio: L. Attività libero professionale.</w:t>
      </w:r>
    </w:p>
    <w:p>
      <w:pPr>
        <w:pStyle w:val="Normal"/>
        <w:jc w:val="both"/>
        <w:rPr>
          <w:u w:val="single"/>
        </w:rPr>
      </w:pPr>
      <w:r>
        <w:rPr/>
        <w:t>Denominazione misura: RISUMA006 - Definire una istruzione interna per effettuare: - La verifica della situazione giuridica dichiarata sul modulo - La verifica dell'iscrizione all'elenco nazionale dei medici competenti istituito presso il Ministero della Salute ai sensi dell'art. 38, comma 4 del D.Lgs. 81/2008; - La verifica delle variazioni giuridiche del personale dipendente.</w:t>
      </w:r>
    </w:p>
    <w:p>
      <w:pPr>
        <w:pStyle w:val="Normal"/>
        <w:jc w:val="both"/>
        <w:rPr>
          <w:u w:val="single"/>
        </w:rPr>
      </w:pPr>
      <w:r>
        <w:rPr/>
        <w:t>La misura è stata attuata nei tempi previsti.</w:t>
      </w:r>
    </w:p>
    <w:p>
      <w:pPr>
        <w:pStyle w:val="Normal"/>
        <w:jc w:val="both"/>
        <w:rPr>
          <w:u w:val="single"/>
        </w:rPr>
      </w:pPr>
      <w:r>
        <w:rPr/>
        <w:br/>
        <w:t>Area di rischio: L. Attività libero professionale.</w:t>
      </w:r>
    </w:p>
    <w:p>
      <w:pPr>
        <w:pStyle w:val="Normal"/>
        <w:jc w:val="both"/>
        <w:rPr>
          <w:u w:val="single"/>
        </w:rPr>
      </w:pPr>
      <w:r>
        <w:rPr/>
        <w:t>Denominazione misura: RISUMA006 - Definire una istruzione interna per definire i controlli ed i monitoraggi periodici.In particolare su come:effettuare la verifica mensile delle variaz. giuridiche del pers. dipendente che hanno un impatto sui requisiti indispensabili per esercitare la libera professione intramuraria-effettuare un controllo annuale sul permanere dell'iscrizione all'elenco nazionale dei medici competenti.</w:t>
      </w:r>
    </w:p>
    <w:p>
      <w:pPr>
        <w:pStyle w:val="Normal"/>
        <w:jc w:val="both"/>
        <w:rPr>
          <w:u w:val="single"/>
        </w:rPr>
      </w:pPr>
      <w:r>
        <w:rPr/>
        <w:t>La misura è stata attuata nei tempi previsti.</w:t>
      </w:r>
    </w:p>
    <w:p>
      <w:pPr>
        <w:pStyle w:val="Normal"/>
        <w:jc w:val="both"/>
        <w:rPr>
          <w:u w:val="single"/>
        </w:rPr>
      </w:pPr>
      <w:r>
        <w:rPr/>
        <w:br/>
        <w:t>Area di rischio: S. Farmaceutica, dispositivi e altre tecnologie - Sperimentazioni cliniche.</w:t>
      </w:r>
    </w:p>
    <w:p>
      <w:pPr>
        <w:pStyle w:val="Normal"/>
        <w:jc w:val="both"/>
        <w:rPr>
          <w:u w:val="single"/>
        </w:rPr>
      </w:pPr>
      <w:r>
        <w:rPr/>
        <w:t>Denominazione misura: STAFDS003 - Integrazione del modello regionale B5 con ulteriori dichiarazioni concordate con l’ufficio anticorruzione, per favorire l’emersione delle situazioni di conflitto di interessi non previste dal modello regionale.</w:t>
      </w:r>
    </w:p>
    <w:p>
      <w:pPr>
        <w:pStyle w:val="Normal"/>
        <w:jc w:val="both"/>
        <w:rPr>
          <w:u w:val="single"/>
        </w:rPr>
      </w:pPr>
      <w:r>
        <w:rPr/>
        <w:t>La misura è stata attuata nei tempi previsti.</w:t>
      </w:r>
    </w:p>
    <w:p>
      <w:pPr>
        <w:pStyle w:val="Normal"/>
        <w:jc w:val="both"/>
        <w:rPr>
          <w:u w:val="single"/>
        </w:rPr>
      </w:pPr>
      <w:r>
        <w:rPr>
          <w:u w:val="single"/>
        </w:rPr>
      </w:r>
    </w:p>
    <w:p>
      <w:pPr>
        <w:pStyle w:val="Titolo2"/>
        <w:rPr/>
      </w:pPr>
      <w:bookmarkStart w:id="60" w:name="__RefHeading___Toc3315_191163200"/>
      <w:bookmarkStart w:id="61" w:name="_Toc88657674"/>
      <w:bookmarkEnd w:id="60"/>
      <w:r>
        <w:rPr/>
        <w:t>Misure specifiche di semplificazione</w:t>
      </w:r>
      <w:bookmarkEnd w:id="61"/>
    </w:p>
    <w:p>
      <w:pPr>
        <w:pStyle w:val="Normal"/>
        <w:rPr/>
      </w:pPr>
      <w:r>
        <w:rPr/>
      </w:r>
    </w:p>
    <w:p>
      <w:pPr>
        <w:pStyle w:val="Normal"/>
        <w:rPr>
          <w:u w:val="single"/>
        </w:rPr>
      </w:pPr>
      <w:r>
        <w:rPr/>
        <w:t>Non sono state programmate misure specifiche di semplificazione.</w:t>
      </w:r>
    </w:p>
    <w:p>
      <w:pPr>
        <w:pStyle w:val="Normal"/>
        <w:rPr/>
      </w:pPr>
      <w:r>
        <w:rPr/>
      </w:r>
    </w:p>
    <w:p>
      <w:pPr>
        <w:pStyle w:val="Titolo2"/>
        <w:rPr/>
      </w:pPr>
      <w:bookmarkStart w:id="62" w:name="__RefHeading___Toc3317_191163200"/>
      <w:bookmarkStart w:id="63" w:name="_Toc88657675"/>
      <w:bookmarkEnd w:id="62"/>
      <w:r>
        <w:rPr/>
        <w:t>Misure specifiche di formazione</w:t>
      </w:r>
      <w:bookmarkEnd w:id="63"/>
    </w:p>
    <w:p>
      <w:pPr>
        <w:pStyle w:val="Normal"/>
        <w:rPr/>
      </w:pPr>
      <w:r>
        <w:rPr/>
      </w:r>
    </w:p>
    <w:p>
      <w:pPr>
        <w:pStyle w:val="Normal"/>
        <w:rPr/>
      </w:pPr>
      <w:r>
        <w:rPr/>
        <w:t>Non sono state programmate misure specifiche di formazione.</w:t>
      </w:r>
    </w:p>
    <w:p>
      <w:pPr>
        <w:pStyle w:val="Normal"/>
        <w:rPr/>
      </w:pPr>
      <w:r>
        <w:rPr/>
      </w:r>
    </w:p>
    <w:p>
      <w:pPr>
        <w:pStyle w:val="Titolo2"/>
        <w:rPr/>
      </w:pPr>
      <w:bookmarkStart w:id="64" w:name="__RefHeading___Toc3319_191163200"/>
      <w:bookmarkStart w:id="65" w:name="_Toc88657676"/>
      <w:bookmarkEnd w:id="64"/>
      <w:r>
        <w:rPr/>
        <w:t>Misure specifiche di rotazione</w:t>
      </w:r>
      <w:bookmarkEnd w:id="65"/>
    </w:p>
    <w:p>
      <w:pPr>
        <w:pStyle w:val="Normal"/>
        <w:rPr/>
      </w:pPr>
      <w:r>
        <w:rPr/>
      </w:r>
    </w:p>
    <w:p>
      <w:pPr>
        <w:pStyle w:val="Normal"/>
        <w:jc w:val="both"/>
        <w:rPr/>
      </w:pPr>
      <w:r>
        <w:rPr/>
        <w:t>Con riferimento all’attuazione delle misure specifiche di rotazione, nell’anno di riferimento del PTPCT e della sezione Anticorruzione e Trasparenza del PIAO si evidenzia quanto segue:</w:t>
      </w:r>
    </w:p>
    <w:p>
      <w:pPr>
        <w:pStyle w:val="Normal"/>
        <w:jc w:val="both"/>
        <w:rPr/>
      </w:pPr>
      <w:r>
        <w:rPr/>
        <w:t>-  Numero di misure programmate: 3;</w:t>
      </w:r>
    </w:p>
    <w:p>
      <w:pPr>
        <w:pStyle w:val="Normal"/>
        <w:jc w:val="both"/>
        <w:rPr/>
      </w:pPr>
      <w:r>
        <w:rPr/>
        <w:t>-  Numero di misure attuate nei tempi previsti: 2;</w:t>
      </w:r>
    </w:p>
    <w:p>
      <w:pPr>
        <w:pStyle w:val="Normal"/>
        <w:jc w:val="both"/>
        <w:rPr/>
      </w:pPr>
      <w:r>
        <w:rPr/>
        <w:t>-  Numero di misure non attuate: 1.</w:t>
      </w:r>
    </w:p>
    <w:p>
      <w:pPr>
        <w:pStyle w:val="Normal"/>
        <w:jc w:val="both"/>
        <w:rPr/>
      </w:pPr>
      <w:r>
        <w:rPr/>
        <w:t>In particolare, per quanto riguarda le misure specifiche di rotazione non attuate si evidenzia che per 1 misura non sono state ancora avviate le attività per l’adozione e non saranno avviate nei tempi previsti dal PTPCT e dalla sezione Anticorruzione e Trasparenza del PIAO a causa della carenza di personale.</w:t>
        <w:br/>
        <w:t xml:space="preserve">Di seguito si fornisce il dettaglio del monitoraggio per ogni singola misura di rotazione programmata. </w:t>
        <w:br/>
        <w:br/>
      </w:r>
      <w:r>
        <w:rPr>
          <w:shd w:fill="auto" w:val="clear"/>
        </w:rPr>
        <w:t>Area di rischio: D.3 Contratti pubblici - Selezione del contraente.</w:t>
      </w:r>
    </w:p>
    <w:p>
      <w:pPr>
        <w:pStyle w:val="Normal"/>
        <w:jc w:val="both"/>
        <w:rPr>
          <w:highlight w:val="none"/>
          <w:shd w:fill="auto" w:val="clear"/>
        </w:rPr>
      </w:pPr>
      <w:r>
        <w:rPr>
          <w:shd w:fill="auto" w:val="clear"/>
        </w:rPr>
        <w:t>Denominazione misura: ARETEC001 - Integrazione della delibera 1064/2017 specificando i criteri per assicurare la rotazione dei RUP compatibilmente con le risorse e le competenze disponibili.</w:t>
      </w:r>
    </w:p>
    <w:p>
      <w:pPr>
        <w:pStyle w:val="Normal"/>
        <w:jc w:val="both"/>
        <w:rPr/>
      </w:pPr>
      <w:r>
        <w:rPr>
          <w:shd w:fill="auto" w:val="clear"/>
        </w:rPr>
        <w:t>La misura non è stata attuata e non sono state ancora avviate le attività per la sua adozione ma saranno avviate nei tempi previsti dal PTPCT o dalla sezione Anticorruzione e Trasparenza del PIAO.</w:t>
      </w:r>
      <w:r>
        <w:rPr/>
        <w:br/>
        <w:br/>
        <w:t>Area di rischio: D.5 Contratti pubblici – Esecuzione.</w:t>
      </w:r>
    </w:p>
    <w:p>
      <w:pPr>
        <w:pStyle w:val="Normal"/>
        <w:jc w:val="both"/>
        <w:rPr/>
      </w:pPr>
      <w:r>
        <w:rPr/>
        <w:t>Denominazione misura: DECENT006 - Definizione di criteri di rotazione dei RES/DEC.</w:t>
      </w:r>
    </w:p>
    <w:p>
      <w:pPr>
        <w:pStyle w:val="Normal"/>
        <w:jc w:val="both"/>
        <w:rPr/>
      </w:pPr>
      <w:r>
        <w:rPr/>
        <w:t>La misura non è stata attuata non sono state ancora avviate le attività per l’adozione e non saranno avviate nei tempi previsti dal PTPCT e dalla sezione Anticorruzione e Trasparenza del PIAO a causa della carenza di personale.</w:t>
      </w:r>
    </w:p>
    <w:p>
      <w:pPr>
        <w:pStyle w:val="Normal"/>
        <w:jc w:val="both"/>
        <w:rPr/>
      </w:pPr>
      <w:r>
        <w:rPr/>
      </w:r>
    </w:p>
    <w:p>
      <w:pPr>
        <w:pStyle w:val="Normal"/>
        <w:jc w:val="both"/>
        <w:rPr/>
      </w:pPr>
      <w:r>
        <w:rPr/>
        <w:t>Area di rischio: E. Incarichi e nomine.</w:t>
      </w:r>
    </w:p>
    <w:p>
      <w:pPr>
        <w:pStyle w:val="Normal"/>
        <w:jc w:val="both"/>
        <w:rPr/>
      </w:pPr>
      <w:r>
        <w:rPr/>
        <w:t>Denominazione misura: PREVEN011 - Redazione di specifica istruzione operativa ad integrazione della PST.DPREV.PS.01 "Percorsi educativi nelle scuole" per definire i criteri e le modalità per la selezione e qualificazione dei professionisti interni, compresa la pubblicizzazione della richiesta di adesioni e la rotazione dei professionisti.</w:t>
      </w:r>
    </w:p>
    <w:p>
      <w:pPr>
        <w:pStyle w:val="Normal"/>
        <w:jc w:val="both"/>
        <w:rPr/>
      </w:pPr>
      <w:r>
        <w:rPr/>
        <w:t>La misura è stata attuata nei tempi previsti.</w:t>
      </w:r>
    </w:p>
    <w:p>
      <w:pPr>
        <w:pStyle w:val="Normal"/>
        <w:rPr>
          <w:bCs/>
        </w:rPr>
      </w:pPr>
      <w:r>
        <w:rPr>
          <w:bCs/>
        </w:rPr>
      </w:r>
    </w:p>
    <w:p>
      <w:pPr>
        <w:pStyle w:val="Titolo2"/>
        <w:rPr/>
      </w:pPr>
      <w:bookmarkStart w:id="66" w:name="__RefHeading___Toc3321_191163200"/>
      <w:bookmarkStart w:id="67" w:name="_Toc88657677"/>
      <w:bookmarkEnd w:id="66"/>
      <w:r>
        <w:rPr/>
        <w:t>Misure specifiche di disciplina del conflitto di interessi</w:t>
      </w:r>
      <w:bookmarkEnd w:id="67"/>
    </w:p>
    <w:p>
      <w:pPr>
        <w:pStyle w:val="Normal"/>
        <w:rPr/>
      </w:pPr>
      <w:r>
        <w:rPr/>
      </w:r>
    </w:p>
    <w:p>
      <w:pPr>
        <w:pStyle w:val="Normal"/>
        <w:jc w:val="both"/>
        <w:rPr/>
      </w:pPr>
      <w:r>
        <w:rPr/>
        <w:t>Con riferimento all’attuazione delle misure specifiche di disciplina del conflitto di interessi, nell’anno di riferimento del PTPCT o della sezione Anticorruzione e Trasparenza del PIAO si evidenzia quanto segue:</w:t>
      </w:r>
    </w:p>
    <w:p>
      <w:pPr>
        <w:pStyle w:val="Normal"/>
        <w:jc w:val="both"/>
        <w:rPr/>
      </w:pPr>
      <w:r>
        <w:rPr/>
        <w:t>-  Numero di misure programmate: 26;</w:t>
      </w:r>
    </w:p>
    <w:p>
      <w:pPr>
        <w:pStyle w:val="Normal"/>
        <w:jc w:val="both"/>
        <w:rPr/>
      </w:pPr>
      <w:r>
        <w:rPr/>
        <w:t>-  Numero di misure attuate nei tempi previsti: 21;</w:t>
      </w:r>
    </w:p>
    <w:p>
      <w:pPr>
        <w:pStyle w:val="Normal"/>
        <w:jc w:val="both"/>
        <w:rPr/>
      </w:pPr>
      <w:r>
        <w:rPr/>
        <w:t>-  Numero di misure non attuate: 5.</w:t>
      </w:r>
    </w:p>
    <w:p>
      <w:pPr>
        <w:pStyle w:val="Normal"/>
        <w:jc w:val="both"/>
        <w:rPr/>
      </w:pPr>
      <w:r>
        <w:rPr/>
        <w:t>In particolare, per quanto riguarda le misure specifiche di disciplina del conflitto di interessi non attuate, si evidenzia che 5 misure sono attualmente in corso di adozione.</w:t>
      </w:r>
    </w:p>
    <w:p>
      <w:pPr>
        <w:pStyle w:val="Normal"/>
        <w:jc w:val="both"/>
        <w:rPr/>
      </w:pPr>
      <w:r>
        <w:rPr/>
        <w:br/>
        <w:br/>
        <w:t>Di seguito si fornisce il dettaglio del monitoraggio per ogni singola misura di disciplina del conflitto di interessi programmata.</w:t>
      </w:r>
    </w:p>
    <w:p>
      <w:pPr>
        <w:pStyle w:val="Normal"/>
        <w:jc w:val="both"/>
        <w:rPr/>
      </w:pPr>
      <w:r>
        <w:rPr/>
        <w:br/>
        <w:t>Area di rischio: B. Provvedimenti ampliativi della sfera giuridica senza effetto economico diretto ed immediato (es. autorizzazioni e concessioni, etc.).</w:t>
      </w:r>
    </w:p>
    <w:p>
      <w:pPr>
        <w:pStyle w:val="Normal"/>
        <w:jc w:val="both"/>
        <w:rPr/>
      </w:pPr>
      <w:r>
        <w:rPr/>
        <w:t>Denominazione misura: FARMAC002 - Rilascio da parte di tutti i farmacisti coinvolti, della dichiarazione di cui all’art. 35-bis del D.Lgs. 165/2001 e dell’attestazione di assenza di conflitto di interessi.</w:t>
      </w:r>
    </w:p>
    <w:p>
      <w:pPr>
        <w:pStyle w:val="Normal"/>
        <w:jc w:val="both"/>
        <w:rPr/>
      </w:pPr>
      <w:r>
        <w:rPr/>
        <w:t>La misura è stata attuata nei tempi previsti.</w:t>
      </w:r>
    </w:p>
    <w:p>
      <w:pPr>
        <w:pStyle w:val="Normal"/>
        <w:jc w:val="both"/>
        <w:rPr/>
      </w:pPr>
      <w:r>
        <w:rPr/>
        <w:br/>
        <w:t>Area di rischio: B. Provvedimenti ampliativi della sfera giuridica senza effetto economico diretto ed immediato (es. autorizzazioni e concessioni, etc.).</w:t>
      </w:r>
    </w:p>
    <w:p>
      <w:pPr>
        <w:pStyle w:val="Normal"/>
        <w:jc w:val="both"/>
        <w:rPr/>
      </w:pPr>
      <w:r>
        <w:rPr/>
        <w:t>Denominazione misura: MEDFISI001 - Il medico ed il fisioterapista devono rilasciare, all'inizio dell'anno, una dichiarazione di assenza di conflitto di interessi che riguarda tutte le strutture accreditate anche quelle al di fuori della zona di intervento.</w:t>
      </w:r>
    </w:p>
    <w:p>
      <w:pPr>
        <w:pStyle w:val="Normal"/>
        <w:jc w:val="both"/>
        <w:rPr/>
      </w:pPr>
      <w:r>
        <w:rPr/>
        <w:t>La misura non è stata attuata, ma sono state avviate le attività ed è attualmente in corso di adozione.</w:t>
      </w:r>
    </w:p>
    <w:p>
      <w:pPr>
        <w:pStyle w:val="Normal"/>
        <w:jc w:val="both"/>
        <w:rPr/>
      </w:pPr>
      <w:r>
        <w:rPr/>
        <w:br/>
        <w:t>Area di rischio: B. Provvedimenti ampliativi della sfera giuridica senza effetto economico diretto ed immediato (es. autorizzazioni e concessioni, etc.).</w:t>
      </w:r>
    </w:p>
    <w:p>
      <w:pPr>
        <w:pStyle w:val="Normal"/>
        <w:jc w:val="both"/>
        <w:rPr/>
      </w:pPr>
      <w:r>
        <w:rPr/>
        <w:t>Denominazione misura: PREVEN010 - Ogni operatore deve rilasciare annualmente al proprio RESP una dichiarazione nella quale si impegna a segnalare la presenza di conflitti di interesse anche potenziali rispetto all’attività assegnata.</w:t>
      </w:r>
    </w:p>
    <w:p>
      <w:pPr>
        <w:pStyle w:val="Normal"/>
        <w:jc w:val="both"/>
        <w:rPr/>
      </w:pPr>
      <w:r>
        <w:rPr/>
        <w:t>La misura è stata attuata nei tempi previsti.</w:t>
      </w:r>
    </w:p>
    <w:p>
      <w:pPr>
        <w:pStyle w:val="Normal"/>
        <w:jc w:val="both"/>
        <w:rPr/>
      </w:pPr>
      <w:r>
        <w:rPr/>
        <w:br/>
        <w:t>Area di rischio: C. Provvedimenti ampliativi della sfera giuridica con effetto economico diretto ed immediato (es. erogazione di sovvenzioni, contributi, sussidi, etc.).</w:t>
      </w:r>
    </w:p>
    <w:p>
      <w:pPr>
        <w:pStyle w:val="Normal"/>
        <w:jc w:val="both"/>
        <w:rPr/>
      </w:pPr>
      <w:r>
        <w:rPr/>
        <w:t>Denominazione misura: DECENT005 - Rilascio da parte di tutti gli operatori coinvolti della dichiarazione di cui all’art. 35-bis del D.Lgs. 165/2001 e dell’attestazione di assenza di conflitto di interessi.</w:t>
      </w:r>
    </w:p>
    <w:p>
      <w:pPr>
        <w:pStyle w:val="Normal"/>
        <w:jc w:val="both"/>
        <w:rPr/>
      </w:pPr>
      <w:r>
        <w:rPr/>
        <w:t>La misura è stata attuata nei tempi previsti.</w:t>
      </w:r>
    </w:p>
    <w:p>
      <w:pPr>
        <w:pStyle w:val="Normal"/>
        <w:jc w:val="both"/>
        <w:rPr/>
      </w:pPr>
      <w:r>
        <w:rPr/>
        <w:br/>
        <w:t>Area di rischio: C. Provvedimenti ampliativi della sfera giuridica con effetto economico diretto ed immediato (es. erogazione di sovvenzioni, contributi, sussidi, etc.).</w:t>
      </w:r>
    </w:p>
    <w:p>
      <w:pPr>
        <w:pStyle w:val="Normal"/>
        <w:jc w:val="both"/>
        <w:rPr/>
      </w:pPr>
      <w:r>
        <w:rPr/>
        <w:t>Denominazione misura: DECENT002 - Acquisizione da parte della Segreteria Amministrativa / Ufficio Amministrativo zonale,  per ciascun parere/verbale e con riferimento a ciascun soggetto coinvolto, delle dichiarazioni di assenza di conflitto di interessi.</w:t>
      </w:r>
    </w:p>
    <w:p>
      <w:pPr>
        <w:pStyle w:val="Normal"/>
        <w:jc w:val="both"/>
        <w:rPr/>
      </w:pPr>
      <w:r>
        <w:rPr/>
        <w:t>La misura è stata attuata nei tempi previsti.</w:t>
      </w:r>
    </w:p>
    <w:p>
      <w:pPr>
        <w:pStyle w:val="Normal"/>
        <w:jc w:val="both"/>
        <w:rPr/>
      </w:pPr>
      <w:r>
        <w:rPr/>
        <w:br/>
        <w:t>Area di rischio: C. Provvedimenti ampliativi della sfera giuridica con effetto economico diretto ed immediato (es. erogazione di sovvenzioni, contributi, sussidi, etc.).</w:t>
      </w:r>
    </w:p>
    <w:p>
      <w:pPr>
        <w:pStyle w:val="Normal"/>
        <w:jc w:val="both"/>
        <w:rPr/>
      </w:pPr>
      <w:r>
        <w:rPr/>
        <w:t>Denominazione misura: DECENT003 - Acquisizione da parte dell’amministrativo dell’UVM/UVMD delle dichiarazioni annuali di tutti gli operatori coinvolti nell’UVM/UVMD  di cui all’art. 35-bis del D.Lgs. 165/2001 e della attestazione di assenza di conflitto di interessi.</w:t>
      </w:r>
    </w:p>
    <w:p>
      <w:pPr>
        <w:pStyle w:val="Normal"/>
        <w:jc w:val="both"/>
        <w:rPr/>
      </w:pPr>
      <w:r>
        <w:rPr/>
        <w:t>La misura è stata attuata nei tempi previsti.</w:t>
      </w:r>
    </w:p>
    <w:p>
      <w:pPr>
        <w:pStyle w:val="Normal"/>
        <w:jc w:val="both"/>
        <w:rPr/>
      </w:pPr>
      <w:r>
        <w:rPr/>
        <w:br/>
        <w:t>Area di rischio: D.3 Contratti pubblici - Selezione del contraente.</w:t>
      </w:r>
    </w:p>
    <w:p>
      <w:pPr>
        <w:pStyle w:val="Normal"/>
        <w:jc w:val="both"/>
        <w:rPr/>
      </w:pPr>
      <w:r>
        <w:rPr/>
        <w:t>Denominazione misura: ARETEC001 - Rilascio da parte del RUP della dichiarazione di assenza di conflitto di interessi.</w:t>
      </w:r>
    </w:p>
    <w:p>
      <w:pPr>
        <w:pStyle w:val="Normal"/>
        <w:jc w:val="both"/>
        <w:rPr/>
      </w:pPr>
      <w:r>
        <w:rPr/>
        <w:t>La misura non è stata attuata, ma sono state avviate le attività ed è attualmente in corso di adozione.</w:t>
        <w:br/>
        <w:br/>
        <w:t>Area di rischio: D.3 Contratti pubblici - Selezione del contraente.</w:t>
      </w:r>
    </w:p>
    <w:p>
      <w:pPr>
        <w:pStyle w:val="Normal"/>
        <w:jc w:val="both"/>
        <w:rPr/>
      </w:pPr>
      <w:r>
        <w:rPr/>
        <w:t>Denominazione misura: ARETEC001 - Rilascio da parte del progettista incaricato della dichiarazione di assenza di conflitto di interessi.</w:t>
      </w:r>
    </w:p>
    <w:p>
      <w:pPr>
        <w:pStyle w:val="Normal"/>
        <w:jc w:val="both"/>
        <w:rPr/>
      </w:pPr>
      <w:r>
        <w:rPr/>
        <w:t>La misura non è stata attuata, ma sono state avviate le attività ed è attualmente in corso di adozione.</w:t>
        <w:br/>
        <w:br/>
        <w:t>Area di rischio: D.3 Contratti pubblici - Selezione del contraente.</w:t>
      </w:r>
    </w:p>
    <w:p>
      <w:pPr>
        <w:pStyle w:val="Normal"/>
        <w:jc w:val="both"/>
        <w:rPr/>
      </w:pPr>
      <w:r>
        <w:rPr/>
        <w:t>Denominazione misura: ARETEC001 - Rilascio da parte del progettista esterno all’Azienda della dichiarazione di assenza di conflitto di interessi e art. 15 del D.Lgs. 33/2013.</w:t>
      </w:r>
    </w:p>
    <w:p>
      <w:pPr>
        <w:pStyle w:val="Normal"/>
        <w:jc w:val="both"/>
        <w:rPr/>
      </w:pPr>
      <w:r>
        <w:rPr/>
        <w:t>La misura non è stata attuata, ma sono state avviate le attività ed è attualmente in corso di adozione.</w:t>
        <w:br/>
        <w:br/>
        <w:t>Area di rischio: D.3 Contratti pubblici - Selezione del contraente.</w:t>
      </w:r>
    </w:p>
    <w:p>
      <w:pPr>
        <w:pStyle w:val="Normal"/>
        <w:jc w:val="both"/>
        <w:rPr/>
      </w:pPr>
      <w:r>
        <w:rPr/>
        <w:t>Denominazione misura: ARETEC001 - Rilascio da parte dell’operatore economico della dichiarazione di assenza di conflitto di interessi.</w:t>
      </w:r>
    </w:p>
    <w:p>
      <w:pPr>
        <w:pStyle w:val="Normal"/>
        <w:jc w:val="both"/>
        <w:rPr/>
      </w:pPr>
      <w:r>
        <w:rPr/>
        <w:t>La misura è stata attuata nei tempi previsti.</w:t>
      </w:r>
    </w:p>
    <w:p>
      <w:pPr>
        <w:pStyle w:val="Normal"/>
        <w:jc w:val="both"/>
        <w:rPr/>
      </w:pPr>
      <w:r>
        <w:rPr/>
        <w:br/>
        <w:t>Area di rischio: D.5 Contratti pubblici – Esecuzione.</w:t>
      </w:r>
    </w:p>
    <w:p>
      <w:pPr>
        <w:pStyle w:val="Normal"/>
        <w:jc w:val="both"/>
        <w:rPr/>
      </w:pPr>
      <w:r>
        <w:rPr/>
        <w:t>Denominazione misura: DECENT006 - Acquisizione della dichiarazione di assenza di conflitto di interessi del RES/DEC rispetto all’Aggiudicatario e al procedimento.</w:t>
      </w:r>
    </w:p>
    <w:p>
      <w:pPr>
        <w:pStyle w:val="Normal"/>
        <w:jc w:val="both"/>
        <w:rPr/>
      </w:pPr>
      <w:r>
        <w:rPr/>
        <w:t>La misura è stata attuata nei tempi previsti.</w:t>
      </w:r>
    </w:p>
    <w:p>
      <w:pPr>
        <w:pStyle w:val="Normal"/>
        <w:jc w:val="both"/>
        <w:rPr/>
      </w:pPr>
      <w:r>
        <w:rPr/>
        <w:br/>
        <w:t>Area di rischio: E. Incarichi e nomine.</w:t>
      </w:r>
    </w:p>
    <w:p>
      <w:pPr>
        <w:pStyle w:val="Normal"/>
        <w:jc w:val="both"/>
        <w:rPr/>
      </w:pPr>
      <w:r>
        <w:rPr/>
        <w:t>Denominazione misura: RISUMA002 - Sottoscrizione da parte di ogni membro della commissione di una dichiarazione di assenza di conflitto di interessi e situazioni di incompatibilità.</w:t>
      </w:r>
    </w:p>
    <w:p>
      <w:pPr>
        <w:pStyle w:val="Normal"/>
        <w:jc w:val="both"/>
        <w:rPr/>
      </w:pPr>
      <w:r>
        <w:rPr/>
        <w:t>La misura è stata attuata nei tempi previsti.</w:t>
      </w:r>
    </w:p>
    <w:p>
      <w:pPr>
        <w:pStyle w:val="Normal"/>
        <w:jc w:val="both"/>
        <w:rPr/>
      </w:pPr>
      <w:r>
        <w:rPr/>
        <w:br/>
        <w:t>Area di rischio: F. Gestione delle entrate, delle spese e del patrimonio.</w:t>
      </w:r>
    </w:p>
    <w:p>
      <w:pPr>
        <w:pStyle w:val="Normal"/>
        <w:jc w:val="both"/>
        <w:rPr/>
      </w:pPr>
      <w:r>
        <w:rPr/>
        <w:t>Denominazione misura: ARETEC006 - Per le procedure di alienazione di beni di valore di alienazione superiore a € 5.000,00 dovrà essere prevista una commissione di valutazione composta dal Direttore della SOC Patrimonio o suo delegato e da componenti delle strutture competenti per tipologia di beni, che indichi in maniera congiunta il valore residuo minimo dei beni, esplicitandone le motivazioni in un documento interno.</w:t>
      </w:r>
    </w:p>
    <w:p>
      <w:pPr>
        <w:pStyle w:val="Normal"/>
        <w:jc w:val="both"/>
        <w:rPr/>
      </w:pPr>
      <w:r>
        <w:rPr/>
        <w:t>La misura è stata attuata nei tempi previsti.</w:t>
      </w:r>
    </w:p>
    <w:p>
      <w:pPr>
        <w:pStyle w:val="Normal"/>
        <w:jc w:val="both"/>
        <w:rPr/>
      </w:pPr>
      <w:r>
        <w:rPr/>
        <w:br/>
        <w:t>Area di rischio: G. Controlli, verifiche, ispezioni e sanzioni.</w:t>
      </w:r>
    </w:p>
    <w:p>
      <w:pPr>
        <w:pStyle w:val="Normal"/>
        <w:jc w:val="both"/>
        <w:rPr/>
      </w:pPr>
      <w:r>
        <w:rPr/>
        <w:t>Denominazione misura: FARMAC003 - I Presidenti delle commissioni devono rilasciare annualmente al Direttore di struttura una dichiarazione di assenza di conflitto di interessi.</w:t>
      </w:r>
    </w:p>
    <w:p>
      <w:pPr>
        <w:pStyle w:val="Normal"/>
        <w:jc w:val="both"/>
        <w:rPr/>
      </w:pPr>
      <w:r>
        <w:rPr/>
        <w:t>La misura è stata attuata nei tempi previsti.</w:t>
      </w:r>
    </w:p>
    <w:p>
      <w:pPr>
        <w:pStyle w:val="Normal"/>
        <w:jc w:val="both"/>
        <w:rPr/>
      </w:pPr>
      <w:r>
        <w:rPr/>
        <w:br/>
        <w:t>Area di rischio: G. Controlli, verifiche, ispezioni e sanzioni.</w:t>
      </w:r>
    </w:p>
    <w:p>
      <w:pPr>
        <w:pStyle w:val="Normal"/>
        <w:jc w:val="both"/>
        <w:rPr/>
      </w:pPr>
      <w:r>
        <w:rPr/>
        <w:t>Denominazione misura: FARMAC003 - I componenti delle commissioni rilasciano annualmente al Direttore di struttura una dichiarazione di assenza di conflitto di interessi.</w:t>
      </w:r>
    </w:p>
    <w:p>
      <w:pPr>
        <w:pStyle w:val="Normal"/>
        <w:jc w:val="both"/>
        <w:rPr/>
      </w:pPr>
      <w:r>
        <w:rPr/>
        <w:t>La misura è stata attuata nei tempi previsti.</w:t>
      </w:r>
    </w:p>
    <w:p>
      <w:pPr>
        <w:pStyle w:val="Normal"/>
        <w:jc w:val="both"/>
        <w:rPr/>
      </w:pPr>
      <w:r>
        <w:rPr/>
        <w:br/>
        <w:t>Area di rischio: G. Controlli, verifiche, ispezioni e sanzioni.</w:t>
      </w:r>
    </w:p>
    <w:p>
      <w:pPr>
        <w:pStyle w:val="Normal"/>
        <w:jc w:val="both"/>
        <w:rPr/>
      </w:pPr>
      <w:r>
        <w:rPr/>
        <w:t>Denominazione misura: PREVEN004 - Ogni operatore deve rilasciare annualmente al proprio RESP una dichiarazione nella quale si impegnano a segnalare la presenza di conflitti di interesse anche potenziali rispetto all’attività assegnata.</w:t>
      </w:r>
    </w:p>
    <w:p>
      <w:pPr>
        <w:pStyle w:val="Normal"/>
        <w:jc w:val="both"/>
        <w:rPr/>
      </w:pPr>
      <w:r>
        <w:rPr/>
        <w:t>La misura è stata attuata nei tempi previsti.</w:t>
      </w:r>
    </w:p>
    <w:p>
      <w:pPr>
        <w:pStyle w:val="Normal"/>
        <w:jc w:val="both"/>
        <w:rPr/>
      </w:pPr>
      <w:r>
        <w:rPr/>
        <w:br/>
        <w:t>Area di rischio: G. Controlli, verifiche, ispezioni e sanzioni</w:t>
      </w:r>
    </w:p>
    <w:p>
      <w:pPr>
        <w:pStyle w:val="Normal"/>
        <w:jc w:val="both"/>
        <w:rPr/>
      </w:pPr>
      <w:r>
        <w:rPr/>
        <w:t>Denominazione misura: STAFDS001 - Tutti i soggetti coinvolti nella stesura del Piano dei controlli devono rilasciare annualmente una dichiarazione di assenza di conflitto di interessi rispetto alle strutture sottoposte a controllo.</w:t>
      </w:r>
    </w:p>
    <w:p>
      <w:pPr>
        <w:pStyle w:val="Normal"/>
        <w:jc w:val="both"/>
        <w:rPr/>
      </w:pPr>
      <w:r>
        <w:rPr/>
        <w:t>La misura è stata attuata nei tempi previsti.</w:t>
      </w:r>
    </w:p>
    <w:p>
      <w:pPr>
        <w:pStyle w:val="Normal"/>
        <w:jc w:val="both"/>
        <w:rPr/>
      </w:pPr>
      <w:r>
        <w:rPr/>
        <w:br/>
        <w:t>Area di rischio: S. Farmaceutica, dispositivi e altre tecnologie - Sperimentazioni cliniche.</w:t>
      </w:r>
    </w:p>
    <w:p>
      <w:pPr>
        <w:pStyle w:val="Normal"/>
        <w:jc w:val="both"/>
        <w:rPr/>
      </w:pPr>
      <w:r>
        <w:rPr/>
        <w:t>Denominazione misura: STAFDS003 - Integrazione del modello regionale B5 con ulteriori dichiarazioni concordate con l’ufficio anticorruzione, per favorire l’emersione delle situazioni di conflitto di interessi non previste dal modello regionale.</w:t>
      </w:r>
    </w:p>
    <w:p>
      <w:pPr>
        <w:pStyle w:val="Normal"/>
        <w:jc w:val="both"/>
        <w:rPr/>
      </w:pPr>
      <w:r>
        <w:rPr/>
        <w:t>La misura è stata attuata nei tempi previsti.</w:t>
      </w:r>
    </w:p>
    <w:p>
      <w:pPr>
        <w:pStyle w:val="Normal"/>
        <w:jc w:val="both"/>
        <w:rPr/>
      </w:pPr>
      <w:r>
        <w:rPr/>
        <w:br/>
        <w:t>Area di rischio: S. Farmaceutica, dispositivi e altre tecnologie - Sperimentazioni cliniche.</w:t>
      </w:r>
    </w:p>
    <w:p>
      <w:pPr>
        <w:pStyle w:val="Normal"/>
        <w:jc w:val="both"/>
        <w:rPr/>
      </w:pPr>
      <w:r>
        <w:rPr/>
        <w:t>Denominazione misura: STAFDS003 - Integrare la procedura per l'emissione del parere di fattibilità locale con una valutazione oggettiva basata su indicatori del possibile rischio corruttivo.</w:t>
      </w:r>
    </w:p>
    <w:p>
      <w:pPr>
        <w:pStyle w:val="Normal"/>
        <w:jc w:val="both"/>
        <w:rPr/>
      </w:pPr>
      <w:r>
        <w:rPr/>
        <w:t>La misura è stata attuata nei tempi previsti.</w:t>
      </w:r>
    </w:p>
    <w:p>
      <w:pPr>
        <w:pStyle w:val="Normal"/>
        <w:jc w:val="both"/>
        <w:rPr/>
      </w:pPr>
      <w:r>
        <w:rPr/>
      </w:r>
    </w:p>
    <w:sectPr>
      <w:footerReference w:type="even" r:id="rId2"/>
      <w:footerReference w:type="default" r:id="rId3"/>
      <w:footerReference w:type="first" r:id="rId4"/>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24528045"/>
    </w:sdtPr>
    <w:sdtContent>
      <w:p>
        <w:pPr>
          <w:pStyle w:val="Pidipagina"/>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sdtContent>
  </w:sdt>
  <w:p>
    <w:pPr>
      <w:pStyle w:val="Pidipagina"/>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96810860"/>
    </w:sdtPr>
    <w:sdtContent>
      <w:p>
        <w:pPr>
          <w:pStyle w:val="Pidipagina"/>
          <w:jc w:val="center"/>
          <w:rPr/>
        </w:pPr>
        <w:r>
          <w:rPr/>
          <w:fldChar w:fldCharType="begin"/>
        </w:r>
        <w:r>
          <w:rPr/>
          <w:instrText> PAGE </w:instrText>
        </w:r>
        <w:r>
          <w:rPr/>
          <w:fldChar w:fldCharType="separate"/>
        </w:r>
        <w:r>
          <w:rPr/>
          <w:t>1</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43657"/>
    </w:sdtPr>
    <w:sdtContent>
      <w:p>
        <w:pPr>
          <w:pStyle w:val="Pidipagina"/>
          <w:jc w:val="center"/>
          <w:rPr/>
        </w:pPr>
        <w:r>
          <w:rPr/>
          <w:fldChar w:fldCharType="begin"/>
        </w:r>
        <w:r>
          <w:rPr/>
          <w:instrText> PAGE </w:instrText>
        </w:r>
        <w:r>
          <w:rPr/>
          <w:fldChar w:fldCharType="separate"/>
        </w:r>
        <w:r>
          <w:rPr/>
          <w:t>1</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SEZIONE %1"/>
      <w:lvlJc w:val="left"/>
      <w:pPr>
        <w:tabs>
          <w:tab w:val="num" w:pos="0"/>
        </w:tabs>
        <w:ind w:left="432" w:hanging="432"/>
      </w:pPr>
    </w:lvl>
    <w:lvl w:ilvl="1">
      <w:start w:val="1"/>
      <w:pStyle w:val="Titolo2"/>
      <w:numFmt w:val="decimal"/>
      <w:lvlText w:val="%1.%2"/>
      <w:lvlJc w:val="left"/>
      <w:pPr>
        <w:tabs>
          <w:tab w:val="num" w:pos="0"/>
        </w:tabs>
        <w:ind w:left="576" w:hanging="576"/>
      </w:pPr>
    </w:lvl>
    <w:lvl w:ilvl="2">
      <w:start w:val="1"/>
      <w:pStyle w:val="Titolo3"/>
      <w:numFmt w:val="decimal"/>
      <w:lvlText w:val="%1.%2.%3"/>
      <w:lvlJc w:val="left"/>
      <w:pPr>
        <w:tabs>
          <w:tab w:val="num" w:pos="0"/>
        </w:tabs>
        <w:ind w:left="720" w:hanging="720"/>
      </w:pPr>
    </w:lvl>
    <w:lvl w:ilvl="3">
      <w:start w:val="1"/>
      <w:pStyle w:val="Titolo4"/>
      <w:numFmt w:val="decimal"/>
      <w:lvlText w:val="%1.%2.%3.%4"/>
      <w:lvlJc w:val="left"/>
      <w:pPr>
        <w:tabs>
          <w:tab w:val="num" w:pos="0"/>
        </w:tabs>
        <w:ind w:left="864" w:hanging="864"/>
      </w:pPr>
    </w:lvl>
    <w:lvl w:ilvl="4">
      <w:start w:val="1"/>
      <w:pStyle w:val="Titolo5"/>
      <w:numFmt w:val="decimal"/>
      <w:lvlText w:val="%1.%2.%3.%4.%5"/>
      <w:lvlJc w:val="left"/>
      <w:pPr>
        <w:tabs>
          <w:tab w:val="num" w:pos="0"/>
        </w:tabs>
        <w:ind w:left="1008" w:hanging="1008"/>
      </w:pPr>
    </w:lvl>
    <w:lvl w:ilvl="5">
      <w:start w:val="1"/>
      <w:pStyle w:val="Titolo6"/>
      <w:numFmt w:val="decimal"/>
      <w:lvlText w:val="%1.%2.%3.%4.%5.%6"/>
      <w:lvlJc w:val="left"/>
      <w:pPr>
        <w:tabs>
          <w:tab w:val="num" w:pos="0"/>
        </w:tabs>
        <w:ind w:left="1152" w:hanging="1152"/>
      </w:pPr>
    </w:lvl>
    <w:lvl w:ilvl="6">
      <w:start w:val="1"/>
      <w:pStyle w:val="Titolo7"/>
      <w:numFmt w:val="decimal"/>
      <w:lvlText w:val="%1.%2.%3.%4.%5.%6.%7"/>
      <w:lvlJc w:val="left"/>
      <w:pPr>
        <w:tabs>
          <w:tab w:val="num" w:pos="0"/>
        </w:tabs>
        <w:ind w:left="1296" w:hanging="1296"/>
      </w:pPr>
    </w:lvl>
    <w:lvl w:ilvl="7">
      <w:start w:val="1"/>
      <w:pStyle w:val="Titolo8"/>
      <w:numFmt w:val="decimal"/>
      <w:lvlText w:val="%1.%2.%3.%4.%5.%6.%7.%8"/>
      <w:lvlJc w:val="left"/>
      <w:pPr>
        <w:tabs>
          <w:tab w:val="num" w:pos="0"/>
        </w:tabs>
        <w:ind w:left="1440" w:hanging="1440"/>
      </w:pPr>
    </w:lvl>
    <w:lvl w:ilvl="8">
      <w:start w:val="1"/>
      <w:pStyle w:val="Titolo9"/>
      <w:numFmt w:val="decimal"/>
      <w:lvlText w:val="%1.%2.%3.%4.%5.%6.%7.%8.%9"/>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2a5a"/>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uiPriority w:val="9"/>
    <w:qFormat/>
    <w:rsid w:val="002954f2"/>
    <w:pPr>
      <w:keepNext w:val="true"/>
      <w:keepLines/>
      <w:numPr>
        <w:ilvl w:val="0"/>
        <w:numId w:val="1"/>
      </w:numPr>
      <w:pBdr>
        <w:bottom w:val="single" w:sz="4" w:space="1" w:color="000000"/>
      </w:pBdr>
      <w:spacing w:before="240" w:after="0"/>
      <w:outlineLvl w:val="0"/>
    </w:pPr>
    <w:rPr>
      <w:rFonts w:ascii="Calibri Light" w:hAnsi="Calibri Light" w:eastAsia="" w:cs="" w:asciiTheme="majorHAnsi" w:cstheme="majorBidi" w:eastAsiaTheme="majorEastAsia" w:hAnsiTheme="majorHAnsi"/>
      <w:b/>
      <w:color w:val="2F5496" w:themeColor="accent1" w:themeShade="bf"/>
      <w:sz w:val="32"/>
      <w:szCs w:val="32"/>
    </w:rPr>
  </w:style>
  <w:style w:type="paragraph" w:styleId="Titolo2">
    <w:name w:val="Heading 2"/>
    <w:basedOn w:val="Normal"/>
    <w:next w:val="Normal"/>
    <w:link w:val="Titolo2Carattere"/>
    <w:uiPriority w:val="9"/>
    <w:unhideWhenUsed/>
    <w:qFormat/>
    <w:rsid w:val="00dd6527"/>
    <w:pPr>
      <w:keepNext w:val="true"/>
      <w:keepLines/>
      <w:numPr>
        <w:ilvl w:val="1"/>
        <w:numId w:val="1"/>
      </w:numPr>
      <w:pBdr>
        <w:bottom w:val="single" w:sz="4" w:space="1" w:color="000000"/>
      </w:pBdr>
      <w:spacing w:before="40" w:after="0"/>
      <w:outlineLvl w:val="1"/>
    </w:pPr>
    <w:rPr>
      <w:rFonts w:ascii="Calibri Light" w:hAnsi="Calibri Light" w:eastAsia="" w:cs="" w:asciiTheme="majorHAnsi" w:cstheme="majorBidi" w:eastAsiaTheme="majorEastAsia" w:hAnsiTheme="majorHAnsi"/>
      <w:i/>
      <w:color w:val="4472C4" w:themeColor="accent1"/>
      <w:sz w:val="26"/>
      <w:szCs w:val="26"/>
    </w:rPr>
  </w:style>
  <w:style w:type="paragraph" w:styleId="Titolo3">
    <w:name w:val="Heading 3"/>
    <w:basedOn w:val="Normal"/>
    <w:next w:val="Normal"/>
    <w:link w:val="Titolo3Carattere"/>
    <w:uiPriority w:val="9"/>
    <w:unhideWhenUsed/>
    <w:qFormat/>
    <w:rsid w:val="00d86271"/>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paragraph" w:styleId="Titolo4">
    <w:name w:val="Heading 4"/>
    <w:basedOn w:val="Normal"/>
    <w:next w:val="Normal"/>
    <w:link w:val="Titolo4Carattere"/>
    <w:uiPriority w:val="9"/>
    <w:semiHidden/>
    <w:unhideWhenUsed/>
    <w:qFormat/>
    <w:rsid w:val="002954f2"/>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Titolo5">
    <w:name w:val="Heading 5"/>
    <w:basedOn w:val="Normal"/>
    <w:next w:val="Normal"/>
    <w:link w:val="Titolo5Carattere"/>
    <w:uiPriority w:val="9"/>
    <w:semiHidden/>
    <w:unhideWhenUsed/>
    <w:qFormat/>
    <w:rsid w:val="002954f2"/>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Titolo6">
    <w:name w:val="Heading 6"/>
    <w:basedOn w:val="Normal"/>
    <w:next w:val="Normal"/>
    <w:link w:val="Titolo6Carattere"/>
    <w:uiPriority w:val="9"/>
    <w:semiHidden/>
    <w:unhideWhenUsed/>
    <w:qFormat/>
    <w:rsid w:val="002954f2"/>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Titolo7">
    <w:name w:val="Heading 7"/>
    <w:basedOn w:val="Normal"/>
    <w:next w:val="Normal"/>
    <w:link w:val="Titolo7Carattere"/>
    <w:uiPriority w:val="9"/>
    <w:semiHidden/>
    <w:unhideWhenUsed/>
    <w:qFormat/>
    <w:rsid w:val="002954f2"/>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Titolo8">
    <w:name w:val="Heading 8"/>
    <w:basedOn w:val="Normal"/>
    <w:next w:val="Normal"/>
    <w:link w:val="Titolo8Carattere"/>
    <w:uiPriority w:val="9"/>
    <w:semiHidden/>
    <w:unhideWhenUsed/>
    <w:qFormat/>
    <w:rsid w:val="002954f2"/>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Titolo9">
    <w:name w:val="Heading 9"/>
    <w:basedOn w:val="Normal"/>
    <w:next w:val="Normal"/>
    <w:link w:val="Titolo9Carattere"/>
    <w:uiPriority w:val="9"/>
    <w:semiHidden/>
    <w:unhideWhenUsed/>
    <w:qFormat/>
    <w:rsid w:val="002954f2"/>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link w:val="Pidipagina"/>
    <w:uiPriority w:val="99"/>
    <w:qFormat/>
    <w:rsid w:val="00424ebb"/>
    <w:rPr/>
  </w:style>
  <w:style w:type="character" w:styleId="Pagenumber">
    <w:name w:val="page number"/>
    <w:basedOn w:val="DefaultParagraphFont"/>
    <w:uiPriority w:val="99"/>
    <w:semiHidden/>
    <w:unhideWhenUsed/>
    <w:qFormat/>
    <w:rsid w:val="00424ebb"/>
    <w:rPr/>
  </w:style>
  <w:style w:type="character" w:styleId="Titolo1Carattere" w:customStyle="1">
    <w:name w:val="Titolo 1 Carattere"/>
    <w:basedOn w:val="DefaultParagraphFont"/>
    <w:link w:val="Titolo1"/>
    <w:uiPriority w:val="9"/>
    <w:qFormat/>
    <w:rsid w:val="002954f2"/>
    <w:rPr>
      <w:rFonts w:ascii="Calibri Light" w:hAnsi="Calibri Light" w:eastAsia="" w:cs="" w:asciiTheme="majorHAnsi" w:cstheme="majorBidi" w:eastAsiaTheme="majorEastAsia" w:hAnsiTheme="majorHAnsi"/>
      <w:b/>
      <w:color w:val="2F5496" w:themeColor="accent1" w:themeShade="bf"/>
      <w:sz w:val="32"/>
      <w:szCs w:val="32"/>
      <w:lang w:eastAsia="it-IT"/>
    </w:rPr>
  </w:style>
  <w:style w:type="character" w:styleId="Titolo2Carattere" w:customStyle="1">
    <w:name w:val="Titolo 2 Carattere"/>
    <w:basedOn w:val="DefaultParagraphFont"/>
    <w:link w:val="Titolo2"/>
    <w:uiPriority w:val="9"/>
    <w:qFormat/>
    <w:rsid w:val="00dd6527"/>
    <w:rPr>
      <w:rFonts w:ascii="Calibri Light" w:hAnsi="Calibri Light" w:eastAsia="" w:cs="" w:asciiTheme="majorHAnsi" w:cstheme="majorBidi" w:eastAsiaTheme="majorEastAsia" w:hAnsiTheme="majorHAnsi"/>
      <w:i/>
      <w:color w:val="4472C4" w:themeColor="accent1"/>
      <w:sz w:val="26"/>
      <w:szCs w:val="26"/>
    </w:rPr>
  </w:style>
  <w:style w:type="character" w:styleId="CollegamentoInternet">
    <w:name w:val="Collegamento Internet"/>
    <w:basedOn w:val="DefaultParagraphFont"/>
    <w:uiPriority w:val="99"/>
    <w:unhideWhenUsed/>
    <w:rsid w:val="007d3b4c"/>
    <w:rPr>
      <w:color w:val="0563C1" w:themeColor="hyperlink"/>
      <w:u w:val="single"/>
    </w:rPr>
  </w:style>
  <w:style w:type="character" w:styleId="Annotationreference">
    <w:name w:val="annotation reference"/>
    <w:basedOn w:val="DefaultParagraphFont"/>
    <w:uiPriority w:val="99"/>
    <w:semiHidden/>
    <w:unhideWhenUsed/>
    <w:qFormat/>
    <w:rsid w:val="00b37b9b"/>
    <w:rPr>
      <w:sz w:val="16"/>
      <w:szCs w:val="16"/>
    </w:rPr>
  </w:style>
  <w:style w:type="character" w:styleId="TestocommentoCarattere" w:customStyle="1">
    <w:name w:val="Testo commento Carattere"/>
    <w:basedOn w:val="DefaultParagraphFont"/>
    <w:link w:val="Testocommento"/>
    <w:uiPriority w:val="99"/>
    <w:semiHidden/>
    <w:qFormat/>
    <w:rsid w:val="00b37b9b"/>
    <w:rPr>
      <w:sz w:val="20"/>
      <w:szCs w:val="20"/>
    </w:rPr>
  </w:style>
  <w:style w:type="character" w:styleId="SoggettocommentoCarattere" w:customStyle="1">
    <w:name w:val="Soggetto commento Carattere"/>
    <w:basedOn w:val="TestocommentoCarattere"/>
    <w:link w:val="Soggettocommento"/>
    <w:uiPriority w:val="99"/>
    <w:semiHidden/>
    <w:qFormat/>
    <w:rsid w:val="00b37b9b"/>
    <w:rPr>
      <w:b/>
      <w:bCs/>
      <w:sz w:val="20"/>
      <w:szCs w:val="20"/>
    </w:rPr>
  </w:style>
  <w:style w:type="character" w:styleId="TestofumettoCarattere" w:customStyle="1">
    <w:name w:val="Testo fumetto Carattere"/>
    <w:basedOn w:val="DefaultParagraphFont"/>
    <w:link w:val="Testofumetto"/>
    <w:uiPriority w:val="99"/>
    <w:semiHidden/>
    <w:qFormat/>
    <w:rsid w:val="00b37b9b"/>
    <w:rPr>
      <w:rFonts w:ascii="Times New Roman" w:hAnsi="Times New Roman"/>
      <w:sz w:val="18"/>
      <w:szCs w:val="18"/>
    </w:rPr>
  </w:style>
  <w:style w:type="character" w:styleId="Titolo3Carattere" w:customStyle="1">
    <w:name w:val="Titolo 3 Carattere"/>
    <w:basedOn w:val="DefaultParagraphFont"/>
    <w:link w:val="Titolo3"/>
    <w:uiPriority w:val="9"/>
    <w:qFormat/>
    <w:rsid w:val="00d86271"/>
    <w:rPr>
      <w:rFonts w:ascii="Calibri Light" w:hAnsi="Calibri Light" w:eastAsia="" w:cs="" w:asciiTheme="majorHAnsi" w:cstheme="majorBidi" w:eastAsiaTheme="majorEastAsia" w:hAnsiTheme="majorHAnsi"/>
      <w:color w:val="1F3763" w:themeColor="accent1" w:themeShade="7f"/>
      <w:lang w:eastAsia="it-IT"/>
    </w:rPr>
  </w:style>
  <w:style w:type="character" w:styleId="Titolo4Carattere" w:customStyle="1">
    <w:name w:val="Titolo 4 Carattere"/>
    <w:basedOn w:val="DefaultParagraphFont"/>
    <w:link w:val="Titolo4"/>
    <w:uiPriority w:val="9"/>
    <w:semiHidden/>
    <w:qFormat/>
    <w:rsid w:val="002954f2"/>
    <w:rPr>
      <w:rFonts w:ascii="Calibri Light" w:hAnsi="Calibri Light" w:eastAsia="" w:cs="" w:asciiTheme="majorHAnsi" w:cstheme="majorBidi" w:eastAsiaTheme="majorEastAsia" w:hAnsiTheme="majorHAnsi"/>
      <w:i/>
      <w:iCs/>
      <w:color w:val="2F5496" w:themeColor="accent1" w:themeShade="bf"/>
      <w:lang w:eastAsia="it-IT"/>
    </w:rPr>
  </w:style>
  <w:style w:type="character" w:styleId="Titolo5Carattere" w:customStyle="1">
    <w:name w:val="Titolo 5 Carattere"/>
    <w:basedOn w:val="DefaultParagraphFont"/>
    <w:link w:val="Titolo5"/>
    <w:uiPriority w:val="9"/>
    <w:semiHidden/>
    <w:qFormat/>
    <w:rsid w:val="002954f2"/>
    <w:rPr>
      <w:rFonts w:ascii="Calibri Light" w:hAnsi="Calibri Light" w:eastAsia="" w:cs="" w:asciiTheme="majorHAnsi" w:cstheme="majorBidi" w:eastAsiaTheme="majorEastAsia" w:hAnsiTheme="majorHAnsi"/>
      <w:color w:val="2F5496" w:themeColor="accent1" w:themeShade="bf"/>
      <w:lang w:eastAsia="it-IT"/>
    </w:rPr>
  </w:style>
  <w:style w:type="character" w:styleId="Titolo6Carattere" w:customStyle="1">
    <w:name w:val="Titolo 6 Carattere"/>
    <w:basedOn w:val="DefaultParagraphFont"/>
    <w:link w:val="Titolo6"/>
    <w:uiPriority w:val="9"/>
    <w:semiHidden/>
    <w:qFormat/>
    <w:rsid w:val="002954f2"/>
    <w:rPr>
      <w:rFonts w:ascii="Calibri Light" w:hAnsi="Calibri Light" w:eastAsia="" w:cs="" w:asciiTheme="majorHAnsi" w:cstheme="majorBidi" w:eastAsiaTheme="majorEastAsia" w:hAnsiTheme="majorHAnsi"/>
      <w:color w:val="1F3763" w:themeColor="accent1" w:themeShade="7f"/>
      <w:lang w:eastAsia="it-IT"/>
    </w:rPr>
  </w:style>
  <w:style w:type="character" w:styleId="Titolo7Carattere" w:customStyle="1">
    <w:name w:val="Titolo 7 Carattere"/>
    <w:basedOn w:val="DefaultParagraphFont"/>
    <w:link w:val="Titolo7"/>
    <w:uiPriority w:val="9"/>
    <w:semiHidden/>
    <w:qFormat/>
    <w:rsid w:val="002954f2"/>
    <w:rPr>
      <w:rFonts w:ascii="Calibri Light" w:hAnsi="Calibri Light" w:eastAsia="" w:cs="" w:asciiTheme="majorHAnsi" w:cstheme="majorBidi" w:eastAsiaTheme="majorEastAsia" w:hAnsiTheme="majorHAnsi"/>
      <w:i/>
      <w:iCs/>
      <w:color w:val="1F3763" w:themeColor="accent1" w:themeShade="7f"/>
      <w:lang w:eastAsia="it-IT"/>
    </w:rPr>
  </w:style>
  <w:style w:type="character" w:styleId="Titolo8Carattere" w:customStyle="1">
    <w:name w:val="Titolo 8 Carattere"/>
    <w:basedOn w:val="DefaultParagraphFont"/>
    <w:link w:val="Titolo8"/>
    <w:uiPriority w:val="9"/>
    <w:semiHidden/>
    <w:qFormat/>
    <w:rsid w:val="002954f2"/>
    <w:rPr>
      <w:rFonts w:ascii="Calibri Light" w:hAnsi="Calibri Light" w:eastAsia="" w:cs="" w:asciiTheme="majorHAnsi" w:cstheme="majorBidi" w:eastAsiaTheme="majorEastAsia" w:hAnsiTheme="majorHAnsi"/>
      <w:color w:val="272727" w:themeColor="text1" w:themeTint="d8"/>
      <w:sz w:val="21"/>
      <w:szCs w:val="21"/>
      <w:lang w:eastAsia="it-IT"/>
    </w:rPr>
  </w:style>
  <w:style w:type="character" w:styleId="Titolo9Carattere" w:customStyle="1">
    <w:name w:val="Titolo 9 Carattere"/>
    <w:basedOn w:val="DefaultParagraphFont"/>
    <w:link w:val="Titolo9"/>
    <w:uiPriority w:val="9"/>
    <w:semiHidden/>
    <w:qFormat/>
    <w:rsid w:val="002954f2"/>
    <w:rPr>
      <w:rFonts w:ascii="Calibri Light" w:hAnsi="Calibri Light" w:eastAsia="" w:cs="" w:asciiTheme="majorHAnsi" w:cstheme="majorBidi" w:eastAsiaTheme="majorEastAsia" w:hAnsiTheme="majorHAnsi"/>
      <w:i/>
      <w:iCs/>
      <w:color w:val="272727" w:themeColor="text1" w:themeTint="d8"/>
      <w:sz w:val="21"/>
      <w:szCs w:val="21"/>
      <w:lang w:eastAsia="it-IT"/>
    </w:rPr>
  </w:style>
  <w:style w:type="character" w:styleId="IntestazioneCarattere" w:customStyle="1">
    <w:name w:val="Intestazione Carattere"/>
    <w:basedOn w:val="DefaultParagraphFont"/>
    <w:link w:val="Intestazione"/>
    <w:uiPriority w:val="99"/>
    <w:qFormat/>
    <w:rsid w:val="002954f2"/>
    <w:rPr>
      <w:rFonts w:ascii="Times New Roman" w:hAnsi="Times New Roman" w:eastAsia="Times New Roman" w:cs="Times New Roman"/>
      <w:lang w:eastAsia="it-IT"/>
    </w:rPr>
  </w:style>
  <w:style w:type="character" w:styleId="SottotitoloCarattere" w:customStyle="1">
    <w:name w:val="Sottotitolo Carattere"/>
    <w:basedOn w:val="DefaultParagraphFont"/>
    <w:link w:val="Sottotitolo"/>
    <w:uiPriority w:val="11"/>
    <w:qFormat/>
    <w:rsid w:val="00fc3331"/>
    <w:rPr>
      <w:rFonts w:eastAsia="" w:eastAsiaTheme="minorEastAsia"/>
      <w:color w:val="5A5A5A" w:themeColor="text1" w:themeTint="a5"/>
      <w:spacing w:val="15"/>
      <w:sz w:val="22"/>
      <w:szCs w:val="22"/>
      <w:lang w:eastAsia="it-IT"/>
    </w:rPr>
  </w:style>
  <w:style w:type="character" w:styleId="Saltoaindice">
    <w:name w:val="Salto a indice"/>
    <w:qFormat/>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unhideWhenUsed/>
    <w:rsid w:val="00424ebb"/>
    <w:pPr>
      <w:tabs>
        <w:tab w:val="clear" w:pos="708"/>
        <w:tab w:val="center" w:pos="4819" w:leader="none"/>
        <w:tab w:val="right" w:pos="9638" w:leader="none"/>
      </w:tabs>
    </w:pPr>
    <w:rPr/>
  </w:style>
  <w:style w:type="paragraph" w:styleId="Titoloindiceanalitico">
    <w:name w:val="Index Heading"/>
    <w:basedOn w:val="Titolo"/>
    <w:pPr/>
    <w:rPr/>
  </w:style>
  <w:style w:type="paragraph" w:styleId="Titoloindice">
    <w:name w:val="TOC Heading"/>
    <w:basedOn w:val="Titolo1"/>
    <w:next w:val="Normal"/>
    <w:uiPriority w:val="39"/>
    <w:unhideWhenUsed/>
    <w:qFormat/>
    <w:rsid w:val="007d3b4c"/>
    <w:pPr>
      <w:numPr>
        <w:ilvl w:val="0"/>
        <w:numId w:val="0"/>
      </w:numPr>
      <w:pBdr>
        <w:bottom w:val="nil"/>
      </w:pBdr>
      <w:spacing w:lineRule="auto" w:line="276" w:before="480" w:after="0"/>
      <w:outlineLvl w:val="9"/>
    </w:pPr>
    <w:rPr>
      <w:bCs/>
      <w:sz w:val="28"/>
      <w:szCs w:val="28"/>
    </w:rPr>
  </w:style>
  <w:style w:type="paragraph" w:styleId="Indice1">
    <w:name w:val="TOC 1"/>
    <w:basedOn w:val="Normal"/>
    <w:next w:val="Normal"/>
    <w:autoRedefine/>
    <w:uiPriority w:val="39"/>
    <w:unhideWhenUsed/>
    <w:rsid w:val="00fc3331"/>
    <w:pPr>
      <w:spacing w:before="120" w:after="0"/>
    </w:pPr>
    <w:rPr>
      <w:rFonts w:eastAsia="Calibri" w:eastAsiaTheme="minorHAnsi"/>
      <w:b/>
      <w:bCs/>
      <w:i/>
      <w:iCs/>
      <w:lang w:eastAsia="en-US"/>
    </w:rPr>
  </w:style>
  <w:style w:type="paragraph" w:styleId="Indice2">
    <w:name w:val="TOC 2"/>
    <w:basedOn w:val="Normal"/>
    <w:next w:val="Normal"/>
    <w:autoRedefine/>
    <w:uiPriority w:val="39"/>
    <w:unhideWhenUsed/>
    <w:rsid w:val="007d3b4c"/>
    <w:pPr>
      <w:spacing w:before="120" w:after="0"/>
      <w:ind w:left="240" w:hanging="0"/>
    </w:pPr>
    <w:rPr>
      <w:b/>
      <w:bCs/>
      <w:sz w:val="22"/>
      <w:szCs w:val="22"/>
    </w:rPr>
  </w:style>
  <w:style w:type="paragraph" w:styleId="Indice3">
    <w:name w:val="TOC 3"/>
    <w:basedOn w:val="Normal"/>
    <w:next w:val="Normal"/>
    <w:autoRedefine/>
    <w:uiPriority w:val="39"/>
    <w:unhideWhenUsed/>
    <w:rsid w:val="007d3b4c"/>
    <w:pPr>
      <w:ind w:left="480" w:hanging="0"/>
    </w:pPr>
    <w:rPr>
      <w:sz w:val="20"/>
      <w:szCs w:val="20"/>
    </w:rPr>
  </w:style>
  <w:style w:type="paragraph" w:styleId="Indice4">
    <w:name w:val="TOC 4"/>
    <w:basedOn w:val="Normal"/>
    <w:next w:val="Normal"/>
    <w:autoRedefine/>
    <w:uiPriority w:val="39"/>
    <w:semiHidden/>
    <w:unhideWhenUsed/>
    <w:rsid w:val="007d3b4c"/>
    <w:pPr>
      <w:ind w:left="720" w:hanging="0"/>
    </w:pPr>
    <w:rPr>
      <w:sz w:val="20"/>
      <w:szCs w:val="20"/>
    </w:rPr>
  </w:style>
  <w:style w:type="paragraph" w:styleId="Indice5">
    <w:name w:val="TOC 5"/>
    <w:basedOn w:val="Normal"/>
    <w:next w:val="Normal"/>
    <w:autoRedefine/>
    <w:uiPriority w:val="39"/>
    <w:semiHidden/>
    <w:unhideWhenUsed/>
    <w:rsid w:val="007d3b4c"/>
    <w:pPr>
      <w:ind w:left="960" w:hanging="0"/>
    </w:pPr>
    <w:rPr>
      <w:sz w:val="20"/>
      <w:szCs w:val="20"/>
    </w:rPr>
  </w:style>
  <w:style w:type="paragraph" w:styleId="Indice6">
    <w:name w:val="TOC 6"/>
    <w:basedOn w:val="Normal"/>
    <w:next w:val="Normal"/>
    <w:autoRedefine/>
    <w:uiPriority w:val="39"/>
    <w:semiHidden/>
    <w:unhideWhenUsed/>
    <w:rsid w:val="007d3b4c"/>
    <w:pPr>
      <w:ind w:left="1200" w:hanging="0"/>
    </w:pPr>
    <w:rPr>
      <w:sz w:val="20"/>
      <w:szCs w:val="20"/>
    </w:rPr>
  </w:style>
  <w:style w:type="paragraph" w:styleId="Indice7">
    <w:name w:val="TOC 7"/>
    <w:basedOn w:val="Normal"/>
    <w:next w:val="Normal"/>
    <w:autoRedefine/>
    <w:uiPriority w:val="39"/>
    <w:semiHidden/>
    <w:unhideWhenUsed/>
    <w:rsid w:val="007d3b4c"/>
    <w:pPr>
      <w:ind w:left="1440" w:hanging="0"/>
    </w:pPr>
    <w:rPr>
      <w:sz w:val="20"/>
      <w:szCs w:val="20"/>
    </w:rPr>
  </w:style>
  <w:style w:type="paragraph" w:styleId="Indice8">
    <w:name w:val="TOC 8"/>
    <w:basedOn w:val="Normal"/>
    <w:next w:val="Normal"/>
    <w:autoRedefine/>
    <w:uiPriority w:val="39"/>
    <w:semiHidden/>
    <w:unhideWhenUsed/>
    <w:rsid w:val="007d3b4c"/>
    <w:pPr>
      <w:ind w:left="1680" w:hanging="0"/>
    </w:pPr>
    <w:rPr>
      <w:sz w:val="20"/>
      <w:szCs w:val="20"/>
    </w:rPr>
  </w:style>
  <w:style w:type="paragraph" w:styleId="Indice9">
    <w:name w:val="TOC 9"/>
    <w:basedOn w:val="Normal"/>
    <w:next w:val="Normal"/>
    <w:autoRedefine/>
    <w:uiPriority w:val="39"/>
    <w:semiHidden/>
    <w:unhideWhenUsed/>
    <w:rsid w:val="007d3b4c"/>
    <w:pPr>
      <w:ind w:left="1920" w:hanging="0"/>
    </w:pPr>
    <w:rPr>
      <w:sz w:val="20"/>
      <w:szCs w:val="20"/>
    </w:rPr>
  </w:style>
  <w:style w:type="paragraph" w:styleId="ListParagraph">
    <w:name w:val="List Paragraph"/>
    <w:basedOn w:val="Normal"/>
    <w:uiPriority w:val="34"/>
    <w:qFormat/>
    <w:rsid w:val="00fc322a"/>
    <w:pPr>
      <w:spacing w:before="0" w:after="0"/>
      <w:ind w:left="720" w:hanging="0"/>
      <w:contextualSpacing/>
    </w:pPr>
    <w:rPr/>
  </w:style>
  <w:style w:type="paragraph" w:styleId="Annotationtext">
    <w:name w:val="annotation text"/>
    <w:basedOn w:val="Normal"/>
    <w:link w:val="TestocommentoCarattere"/>
    <w:uiPriority w:val="99"/>
    <w:semiHidden/>
    <w:unhideWhenUsed/>
    <w:qFormat/>
    <w:rsid w:val="00b37b9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b37b9b"/>
    <w:pPr/>
    <w:rPr>
      <w:b/>
      <w:bCs/>
    </w:rPr>
  </w:style>
  <w:style w:type="paragraph" w:styleId="BalloonText">
    <w:name w:val="Balloon Text"/>
    <w:basedOn w:val="Normal"/>
    <w:link w:val="TestofumettoCarattere"/>
    <w:uiPriority w:val="99"/>
    <w:semiHidden/>
    <w:unhideWhenUsed/>
    <w:qFormat/>
    <w:rsid w:val="00b37b9b"/>
    <w:pPr/>
    <w:rPr>
      <w:sz w:val="18"/>
      <w:szCs w:val="18"/>
    </w:rPr>
  </w:style>
  <w:style w:type="paragraph" w:styleId="Caption">
    <w:name w:val="caption"/>
    <w:basedOn w:val="Normal"/>
    <w:next w:val="Normal"/>
    <w:uiPriority w:val="35"/>
    <w:unhideWhenUsed/>
    <w:qFormat/>
    <w:rsid w:val="00352a17"/>
    <w:pPr>
      <w:spacing w:before="0" w:after="200"/>
    </w:pPr>
    <w:rPr>
      <w:i/>
      <w:iCs/>
      <w:color w:val="44546A" w:themeColor="text2"/>
      <w:sz w:val="18"/>
      <w:szCs w:val="18"/>
    </w:rPr>
  </w:style>
  <w:style w:type="paragraph" w:styleId="Intestazione">
    <w:name w:val="Header"/>
    <w:basedOn w:val="Normal"/>
    <w:link w:val="IntestazioneCarattere"/>
    <w:uiPriority w:val="99"/>
    <w:unhideWhenUsed/>
    <w:rsid w:val="002954f2"/>
    <w:pPr>
      <w:tabs>
        <w:tab w:val="clear" w:pos="708"/>
        <w:tab w:val="center" w:pos="4819" w:leader="none"/>
        <w:tab w:val="right" w:pos="9638" w:leader="none"/>
      </w:tabs>
    </w:pPr>
    <w:rPr/>
  </w:style>
  <w:style w:type="paragraph" w:styleId="Sottotitolo">
    <w:name w:val="Subtitle"/>
    <w:basedOn w:val="Normal"/>
    <w:next w:val="Normal"/>
    <w:link w:val="SottotitoloCarattere"/>
    <w:uiPriority w:val="11"/>
    <w:qFormat/>
    <w:rsid w:val="00fc3331"/>
    <w:pPr>
      <w:spacing w:before="0" w:after="160"/>
    </w:pPr>
    <w:rPr>
      <w:rFonts w:ascii="Calibri" w:hAnsi="Calibri" w:eastAsia="" w:cs="" w:asciiTheme="minorHAnsi" w:cstheme="minorBidi" w:eastAsiaTheme="minorEastAsia" w:hAnsiTheme="minorHAnsi"/>
      <w:color w:val="5A5A5A" w:themeColor="text1" w:themeTint="a5"/>
      <w:spacing w:val="15"/>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700c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Application>LibreOffice/7.2.7.2$Windows_X86_64 LibreOffice_project/8d71d29d553c0f7dcbfa38fbfda25ee34cce99a2</Application>
  <AppVersion>15.0000</AppVersion>
  <Pages>19</Pages>
  <Words>6953</Words>
  <Characters>41946</Characters>
  <CharactersWithSpaces>48518</CharactersWithSpaces>
  <Paragraphs>479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2020-11-11T13:29:00Z</dcterms:created>
  <dc:creator>Utente di Microsoft Office</dc:creator>
  <dc:description/>
  <dc:language>it-IT</dc:language>
  <cp:lastModifiedBy/>
  <cp:lastPrinted>2023-01-11T12:00:27Z</cp:lastPrinted>
  <dcterms:modified xsi:type="dcterms:W3CDTF">2023-01-15T21:11:05Z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file>