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4C" w:rsidRDefault="00E62347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6F284C" w:rsidRDefault="00E62347">
      <w:pPr>
        <w:jc w:val="center"/>
      </w:pPr>
      <w:r>
        <w:t>(Da pubblicare all’interno dell’organigramma aziendale on-line)</w:t>
      </w:r>
    </w:p>
    <w:p w:rsidR="006F284C" w:rsidRDefault="006F284C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6F284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84C" w:rsidRDefault="00E62347">
            <w:pPr>
              <w:widowControl w:val="0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6F284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rPr>
                <w:color w:val="333333"/>
              </w:rPr>
              <w:t>Dipartimento  Rete Sanitaria Territoriale</w:t>
            </w:r>
          </w:p>
        </w:tc>
      </w:tr>
      <w:tr w:rsidR="006F284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84C" w:rsidRDefault="00E62347">
            <w:pPr>
              <w:widowControl w:val="0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Direttore dello Staff/Dipartimento</w:t>
            </w:r>
          </w:p>
        </w:tc>
      </w:tr>
      <w:tr w:rsidR="006F284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84C" w:rsidRDefault="00E62347">
            <w:pPr>
              <w:widowControl w:val="0"/>
            </w:pPr>
            <w:r>
              <w:t>Emanuele Gori</w:t>
            </w:r>
          </w:p>
        </w:tc>
      </w:tr>
      <w:tr w:rsidR="006F284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84C" w:rsidRDefault="00E62347">
            <w:pPr>
              <w:widowControl w:val="0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Strutture dello Staff/Dipartimento:</w:t>
            </w:r>
          </w:p>
        </w:tc>
      </w:tr>
      <w:tr w:rsidR="006F284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rPr>
                <w:color w:val="333333"/>
              </w:rPr>
              <w:t xml:space="preserve">Il Dipartimento </w:t>
            </w:r>
            <w:r>
              <w:rPr>
                <w:rFonts w:eastAsia="Calibri"/>
                <w:color w:val="333333"/>
              </w:rPr>
              <w:t>Rete Sanitaria Territoriale</w:t>
            </w:r>
            <w:r>
              <w:rPr>
                <w:color w:val="333333"/>
              </w:rPr>
              <w:t xml:space="preserve"> è costituito dalle seguenti </w:t>
            </w:r>
            <w:r>
              <w:rPr>
                <w:color w:val="555555"/>
              </w:rPr>
              <w:t>Unità Operative:</w:t>
            </w: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E62347">
            <w:pPr>
              <w:widowControl w:val="0"/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Area Assistenza Sanitaria Territoriale e Continuità</w:t>
            </w:r>
          </w:p>
          <w:p w:rsidR="006F284C" w:rsidRDefault="00E62347">
            <w:pPr>
              <w:widowControl w:val="0"/>
              <w:numPr>
                <w:ilvl w:val="0"/>
                <w:numId w:val="2"/>
              </w:numPr>
            </w:pPr>
            <w:r>
              <w:rPr>
                <w:color w:val="000000"/>
              </w:rPr>
              <w:t>Area Governo Servizi territoriali, programmazione e percorsi specialistici integrati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color w:val="000000"/>
              </w:rPr>
              <w:t xml:space="preserve">SOC Programmazione, gestione </w:t>
            </w:r>
            <w:r>
              <w:rPr>
                <w:color w:val="000000"/>
              </w:rPr>
              <w:t>operativa e percorsi special</w:t>
            </w:r>
            <w:r>
              <w:rPr>
                <w:color w:val="000000"/>
              </w:rPr>
              <w:t>istici integrati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 xml:space="preserve">SOC </w:t>
            </w:r>
            <w:r>
              <w:t>Governo Area Convenzionati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SOC Direzione degli stabilimenti peniteziari di Firenze e prevenzione del rischio suicidario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SOC Tutela sanitaria negli istituti di detenzione Prato e Pistoia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UFC Attività consulto</w:t>
            </w:r>
            <w:r>
              <w:t>riali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UFC Coordinamento aziendale cure palliative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color w:val="000000"/>
              </w:rPr>
              <w:t>SOS Screening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color w:val="000000"/>
              </w:rPr>
              <w:t>SOS Coordinamento Sanitario dei Servizi Zona Empolese Valdarno Inferiore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color w:val="000000"/>
              </w:rPr>
              <w:t xml:space="preserve">SOS Coordinamento Sanitario dei Servizi Zona </w:t>
            </w:r>
            <w:r>
              <w:rPr>
                <w:rFonts w:eastAsia="Calibri"/>
                <w:color w:val="000000"/>
              </w:rPr>
              <w:t>Prato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color w:val="000000"/>
              </w:rPr>
              <w:t>SOS Coordinamento Sanitario dei Servizi Zona Pistoia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color w:val="000000"/>
              </w:rPr>
              <w:t>SOS Coordinamen</w:t>
            </w:r>
            <w:r>
              <w:rPr>
                <w:color w:val="000000"/>
              </w:rPr>
              <w:t xml:space="preserve">to Sanitario dei Servizi Zona </w:t>
            </w:r>
            <w:r>
              <w:rPr>
                <w:rFonts w:eastAsia="Calibri"/>
                <w:color w:val="000000"/>
              </w:rPr>
              <w:t>Firenze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eastAsia="Calibri"/>
                <w:color w:val="000000"/>
              </w:rPr>
              <w:t>SOS Coordinamento Sanitario dei Servizi Zona Firenze Nord Ovest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eastAsia="Calibri"/>
                <w:color w:val="000000"/>
              </w:rPr>
              <w:t>SOS Coordinamento Sanitario dei Servizi Zona Firenze Sud Est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eastAsia="Calibri"/>
                <w:color w:val="000000"/>
              </w:rPr>
              <w:t>SOS Coordinamento Sanitario dei Servizi Zona Mugello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eastAsia="Calibri"/>
                <w:color w:val="000000"/>
              </w:rPr>
              <w:t xml:space="preserve">SOS Coordinamento Sanitario dei Servizi </w:t>
            </w:r>
            <w:r>
              <w:rPr>
                <w:rFonts w:eastAsia="Calibri"/>
                <w:color w:val="000000"/>
              </w:rPr>
              <w:t>Zona Valdinievole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SOC Organizzazione presidi e servizi territoriali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UFC Cure intermedie e unità di valutazione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SOS sviluppo rete territoriale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SOS Servizi sanitari cure primarie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UOC Professionale organizzazione Servizi Sanitari di Base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SOC Innovazione organ</w:t>
            </w:r>
            <w:r>
              <w:t>izzativa per la gestione delle cronicità e sanità di iniziativa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SOS Convenzioni MMG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lastRenderedPageBreak/>
              <w:t>SOS Convenzioni PdF e specialisti ambulatoriali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UFS cure palliative Prato e Pistoia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UFS cure palliative Firenze Empoli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>UFS Attività consultoriali Prato e Pistoia</w:t>
            </w:r>
          </w:p>
          <w:p w:rsidR="006F284C" w:rsidRDefault="00E62347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t xml:space="preserve">UFS </w:t>
            </w:r>
            <w:r>
              <w:t>Attività consultoriali Firenze e Empoli</w:t>
            </w:r>
          </w:p>
          <w:p w:rsidR="006F284C" w:rsidRDefault="006F284C">
            <w:pPr>
              <w:widowControl w:val="0"/>
              <w:ind w:left="720"/>
              <w:rPr>
                <w:rFonts w:ascii="Calibri" w:hAnsi="Calibri"/>
              </w:rPr>
            </w:pPr>
          </w:p>
        </w:tc>
      </w:tr>
      <w:tr w:rsidR="006F284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84C" w:rsidRDefault="00E62347">
            <w:pPr>
              <w:widowControl w:val="0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lastRenderedPageBreak/>
              <w:t>Funzioni e attività dello Staff/Dipartimento e delle relative strutture:</w:t>
            </w:r>
          </w:p>
        </w:tc>
      </w:tr>
      <w:tr w:rsidR="006F284C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 xml:space="preserve">Il Dipartimento persegue </w:t>
            </w:r>
            <w:r>
              <w:rPr>
                <w:color w:val="000009"/>
              </w:rPr>
              <w:t>la globalità dell’approccio clinico-assistenziale nel rispetto del principio dell’unità della persona, attraverso i</w:t>
            </w:r>
            <w:r>
              <w:rPr>
                <w:color w:val="000009"/>
              </w:rPr>
              <w:t xml:space="preserve">l coordinamento e l’integrazione con i servizi ospedalieri, territoriali, della prevenzione, sociosanitari e sociali o con altre istituzioni sanitarie e/o sociali di natura pubblica o privata. </w:t>
            </w:r>
            <w:r>
              <w:rPr>
                <w:color w:val="000009"/>
              </w:rPr>
              <w:t>In particolare, si identificano i seguenti settori: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 xml:space="preserve"> </w:t>
            </w:r>
            <w:r>
              <w:rPr>
                <w:color w:val="000009"/>
              </w:rPr>
              <w:t>assistenz</w:t>
            </w:r>
            <w:r>
              <w:rPr>
                <w:color w:val="000009"/>
              </w:rPr>
              <w:t xml:space="preserve">a sanitaria domiciliare e </w:t>
            </w:r>
            <w:r>
              <w:t>territoriale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assistenza materno-infantile territoriale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assistenza intermedia e continuità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pneumologia territoriale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rete delle cure palliative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gestione sanitaria medicina convenzionata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direzione sanitaria territoriale z</w:t>
            </w:r>
            <w:r>
              <w:t>onale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direzione sanitaria dei presidi delle cure primarie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Il Dipartimento Rete Sanitaria Territoriale, visti i propri ambiti di competenza, si rapporta e collabora in maniera privilegiata con le Zone Distretto e con le Società della Salute che afferiscon</w:t>
            </w:r>
            <w:r>
              <w:t>o alla Azienda USL Toscana Centro. Nell’ambito dell’erogazione delle prestazioni previste dai LEA, per le funzioni che non sono di competenza esclusiva, il Dipartimento si raccorda e collabora con le strutture di riferimento così come individuate nel model</w:t>
            </w:r>
            <w:r>
              <w:t xml:space="preserve">lo organizzativo adottato dall’Azienda secondo il vigente Statuto. </w:t>
            </w:r>
            <w:r>
              <w:rPr>
                <w:color w:val="000009"/>
              </w:rPr>
              <w:t>La valenza trasversale del Dipartimento comporta la necessità di collaborazioni con le altre strutture aziendali, con particolare riferimento ai Dipartimenti clinici e orizzontali.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rPr>
                <w:color w:val="000009"/>
              </w:rPr>
              <w:t>Il Dipar</w:t>
            </w:r>
            <w:r>
              <w:rPr>
                <w:color w:val="000009"/>
              </w:rPr>
              <w:t>timento organizza, supervisiona e monitora l’erogazione delle attività che costituiscono i Livelli Essenziali di Assistenza e che sono previste dagli strumenti di programmazione regionali, aziendali e zonali e dalla normativa vigente, in collaborazione e c</w:t>
            </w:r>
            <w:r>
              <w:rPr>
                <w:color w:val="000009"/>
              </w:rPr>
              <w:t xml:space="preserve">ondivisione con gli altri Dipartimenti aziendali coinvolti e secondo le specificità delle diverse Zone Distretto. Le predette attività e prestazioni sono assicurate sul territorio secondo procedure e percorsi approvati dall’Azienda. </w:t>
            </w:r>
            <w:r>
              <w:t>Nello specifico le prin</w:t>
            </w:r>
            <w:r>
              <w:t>cipali attività svolte dal Dipartimento, anche in collaborazione con altre strutture, comprendono: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Continuità Territorio - Ospedale - Territorio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Cure Intermedie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 xml:space="preserve"> Assistenza sanitaria residenziale e semiresidenziale non ospedaliera erogata dalle </w:t>
            </w:r>
            <w:r>
              <w:t>strutture organizzative afferenti al Dipartimento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Assistenza Domiciliare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Direzione sanitaria territoriale e dei Presidi Sanitari Territoriali delle cure primarie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lastRenderedPageBreak/>
              <w:t> Pianificazione delle strutture sanitarie territoriali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Relazione con la Medicina Conven</w:t>
            </w:r>
            <w:r>
              <w:t>zionata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Sanità di Iniziativa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Presa in carico della patologia cronica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Campagne di prevenzione collettiva e screening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Gestione del rischio clinico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Mantenimento dei requisiti di accreditamento secondo un processo di miglioramento continuo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Attività</w:t>
            </w:r>
            <w:r>
              <w:t xml:space="preserve"> consultoriali e tutela della gravidanza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Rete delle cure palliative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Valutazione del bisogno, con particolare attenzione ai bisogni complessi (UVM, UVMD, ACOT)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Applicazione DGRT 493/2001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Partecipazione commissione di vigilanza strutture sociosanitar</w:t>
            </w:r>
            <w:r>
              <w:t>ie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Assistenza migranti</w:t>
            </w:r>
          </w:p>
          <w:p w:rsidR="006F284C" w:rsidRDefault="00E62347">
            <w:pPr>
              <w:widowControl w:val="0"/>
              <w:rPr>
                <w:rFonts w:ascii="Calibri" w:hAnsi="Calibri"/>
              </w:rPr>
            </w:pPr>
            <w:r>
              <w:t> Percorso pneumologico territoriale integrato</w:t>
            </w: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  <w:p w:rsidR="006F284C" w:rsidRDefault="006F284C">
            <w:pPr>
              <w:widowControl w:val="0"/>
              <w:rPr>
                <w:rFonts w:ascii="Calibri" w:hAnsi="Calibri"/>
              </w:rPr>
            </w:pPr>
          </w:p>
        </w:tc>
      </w:tr>
    </w:tbl>
    <w:p w:rsidR="006F284C" w:rsidRDefault="006F284C"/>
    <w:sectPr w:rsidR="006F284C" w:rsidSect="006F284C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347" w:rsidRDefault="00E62347" w:rsidP="006F284C">
      <w:pPr>
        <w:spacing w:before="0" w:after="0"/>
      </w:pPr>
      <w:r>
        <w:separator/>
      </w:r>
    </w:p>
  </w:endnote>
  <w:endnote w:type="continuationSeparator" w:id="1">
    <w:p w:rsidR="00E62347" w:rsidRDefault="00E62347" w:rsidP="006F284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4C" w:rsidRDefault="00E62347">
    <w:pPr>
      <w:pStyle w:val="Footer"/>
      <w:jc w:val="center"/>
    </w:pPr>
    <w:r>
      <w:t xml:space="preserve">Pagina </w:t>
    </w:r>
    <w:r w:rsidR="006F284C">
      <w:fldChar w:fldCharType="begin"/>
    </w:r>
    <w:r>
      <w:instrText>PAGE</w:instrText>
    </w:r>
    <w:r w:rsidR="006F284C">
      <w:fldChar w:fldCharType="separate"/>
    </w:r>
    <w:r w:rsidR="008B5D8F">
      <w:rPr>
        <w:noProof/>
      </w:rPr>
      <w:t>2</w:t>
    </w:r>
    <w:r w:rsidR="006F284C">
      <w:fldChar w:fldCharType="end"/>
    </w:r>
    <w:r>
      <w:t xml:space="preserve"> di </w:t>
    </w:r>
    <w:r w:rsidR="006F284C">
      <w:fldChar w:fldCharType="begin"/>
    </w:r>
    <w:r>
      <w:instrText>NUMPAGES</w:instrText>
    </w:r>
    <w:r w:rsidR="006F284C">
      <w:fldChar w:fldCharType="separate"/>
    </w:r>
    <w:r w:rsidR="008B5D8F">
      <w:rPr>
        <w:noProof/>
      </w:rPr>
      <w:t>3</w:t>
    </w:r>
    <w:r w:rsidR="006F284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347" w:rsidRDefault="00E62347" w:rsidP="006F284C">
      <w:pPr>
        <w:spacing w:before="0" w:after="0"/>
      </w:pPr>
      <w:r>
        <w:separator/>
      </w:r>
    </w:p>
  </w:footnote>
  <w:footnote w:type="continuationSeparator" w:id="1">
    <w:p w:rsidR="00E62347" w:rsidRDefault="00E62347" w:rsidP="006F284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1BC0"/>
    <w:multiLevelType w:val="multilevel"/>
    <w:tmpl w:val="A46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73D45D6"/>
    <w:multiLevelType w:val="multilevel"/>
    <w:tmpl w:val="217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EB72DE8"/>
    <w:multiLevelType w:val="multilevel"/>
    <w:tmpl w:val="B2526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84C"/>
    <w:rsid w:val="006F284C"/>
    <w:rsid w:val="008B5D8F"/>
    <w:rsid w:val="00E6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deltesto"/>
    <w:rsid w:val="001E4C9A"/>
    <w:rPr>
      <w:rFonts w:cs="Lucida Sans"/>
    </w:rPr>
  </w:style>
  <w:style w:type="paragraph" w:customStyle="1" w:styleId="Caption">
    <w:name w:val="Caption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Intestazioneepidipagina"/>
    <w:rsid w:val="001E4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il funzionamento</dc:title>
  <dc:creator>Sandra Gostinicchi</dc:creator>
  <cp:lastModifiedBy>sonnj.paccagnini</cp:lastModifiedBy>
  <cp:revision>2</cp:revision>
  <dcterms:created xsi:type="dcterms:W3CDTF">2023-02-27T14:32:00Z</dcterms:created>
  <dcterms:modified xsi:type="dcterms:W3CDTF">2023-02-27T14:32:00Z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