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9A" w:rsidRDefault="00FB475F">
      <w:pPr>
        <w:jc w:val="center"/>
        <w:rPr>
          <w:b/>
          <w:bCs/>
        </w:rPr>
      </w:pPr>
      <w:r>
        <w:rPr>
          <w:b/>
          <w:bCs/>
        </w:rPr>
        <w:t>SCHEDA FUNZIONI E ATTIVITÀ</w:t>
      </w:r>
    </w:p>
    <w:p w:rsidR="001E4C9A" w:rsidRDefault="00FB475F">
      <w:pPr>
        <w:jc w:val="center"/>
      </w:pPr>
      <w:r>
        <w:t>(Da pubblicare all’interno dell’organigramma aziendale on-line)</w:t>
      </w:r>
    </w:p>
    <w:p w:rsidR="001E4C9A" w:rsidRDefault="001E4C9A">
      <w:pPr>
        <w:jc w:val="center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1E4C9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105805" w:rsidRDefault="005639DE" w:rsidP="003878E1">
            <w:pPr>
              <w:widowControl w:val="0"/>
            </w:pPr>
            <w:r w:rsidRPr="00105805">
              <w:rPr>
                <w:color w:val="333333"/>
              </w:rPr>
              <w:t xml:space="preserve">Dipartimento </w:t>
            </w:r>
            <w:r w:rsidR="003878E1">
              <w:rPr>
                <w:color w:val="333333"/>
              </w:rPr>
              <w:t>Risorse Umane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105805" w:rsidRDefault="00FB475F">
            <w:pPr>
              <w:widowControl w:val="0"/>
              <w:rPr>
                <w:b/>
                <w:bCs/>
              </w:rPr>
            </w:pPr>
            <w:r w:rsidRPr="00105805">
              <w:rPr>
                <w:b/>
                <w:bCs/>
              </w:rPr>
              <w:t>Direttore dello Staff/Dipartimento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105805" w:rsidRDefault="00BF2D51" w:rsidP="003878E1">
            <w:pPr>
              <w:widowControl w:val="0"/>
            </w:pPr>
            <w:r w:rsidRPr="00105805">
              <w:t xml:space="preserve">Dott.ssa </w:t>
            </w:r>
            <w:r w:rsidR="003878E1">
              <w:t>Arianna Tognini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105805" w:rsidRDefault="00FB475F">
            <w:pPr>
              <w:widowControl w:val="0"/>
              <w:rPr>
                <w:b/>
                <w:bCs/>
              </w:rPr>
            </w:pPr>
            <w:r w:rsidRPr="00105805">
              <w:rPr>
                <w:b/>
                <w:bCs/>
              </w:rPr>
              <w:t>Strutture dello 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8E1" w:rsidRDefault="00FB475F" w:rsidP="003878E1">
            <w:pPr>
              <w:widowControl w:val="0"/>
              <w:rPr>
                <w:color w:val="333333"/>
              </w:rPr>
            </w:pPr>
            <w:r w:rsidRPr="00105805">
              <w:rPr>
                <w:color w:val="333333"/>
              </w:rPr>
              <w:t xml:space="preserve">Il Dipartimento </w:t>
            </w:r>
            <w:r w:rsidR="003878E1">
              <w:rPr>
                <w:color w:val="333333"/>
              </w:rPr>
              <w:t>Risorse Umane è costituito dalle seguenti Strutture:</w:t>
            </w:r>
          </w:p>
          <w:p w:rsidR="002C75ED" w:rsidRPr="002C75ED" w:rsidRDefault="002C75ED" w:rsidP="002C75ED">
            <w:pPr>
              <w:widowControl w:val="0"/>
              <w:rPr>
                <w:u w:val="single"/>
              </w:rPr>
            </w:pPr>
            <w:r w:rsidRPr="002C75ED">
              <w:rPr>
                <w:bCs/>
                <w:u w:val="single"/>
              </w:rPr>
              <w:t>Area Amministrazione del personale  </w:t>
            </w:r>
          </w:p>
          <w:p w:rsidR="002C75ED" w:rsidRPr="002C75ED" w:rsidRDefault="002C75ED" w:rsidP="002C75ED">
            <w:pPr>
              <w:widowControl w:val="0"/>
              <w:numPr>
                <w:ilvl w:val="0"/>
                <w:numId w:val="4"/>
              </w:numPr>
            </w:pPr>
            <w:r w:rsidRPr="002C75ED">
              <w:rPr>
                <w:bCs/>
              </w:rPr>
              <w:t xml:space="preserve">SOC Formazione </w:t>
            </w:r>
          </w:p>
          <w:p w:rsidR="002C75ED" w:rsidRPr="002C75ED" w:rsidRDefault="002C75ED" w:rsidP="002C75ED">
            <w:pPr>
              <w:widowControl w:val="0"/>
              <w:numPr>
                <w:ilvl w:val="0"/>
                <w:numId w:val="4"/>
              </w:numPr>
            </w:pPr>
            <w:r w:rsidRPr="002C75ED">
              <w:rPr>
                <w:bCs/>
              </w:rPr>
              <w:t>SOC Gestione complessiva delle variabili</w:t>
            </w:r>
          </w:p>
          <w:p w:rsidR="002C75ED" w:rsidRDefault="002C75ED" w:rsidP="002C75ED">
            <w:pPr>
              <w:widowControl w:val="0"/>
              <w:numPr>
                <w:ilvl w:val="0"/>
                <w:numId w:val="4"/>
              </w:numPr>
            </w:pPr>
            <w:r w:rsidRPr="002C75ED">
              <w:rPr>
                <w:bCs/>
              </w:rPr>
              <w:t>SOC Trattamento giuridico e previdenza</w:t>
            </w:r>
          </w:p>
          <w:p w:rsidR="002C75ED" w:rsidRDefault="002C75ED" w:rsidP="002C75ED">
            <w:pPr>
              <w:widowControl w:val="0"/>
              <w:rPr>
                <w:bCs/>
              </w:rPr>
            </w:pPr>
          </w:p>
          <w:p w:rsidR="002C75ED" w:rsidRPr="002C75ED" w:rsidRDefault="002C75ED" w:rsidP="002C75ED">
            <w:pPr>
              <w:widowControl w:val="0"/>
              <w:rPr>
                <w:u w:val="single"/>
              </w:rPr>
            </w:pPr>
            <w:r w:rsidRPr="002C75ED">
              <w:rPr>
                <w:bCs/>
                <w:u w:val="single"/>
              </w:rPr>
              <w:t xml:space="preserve">Area Reclutamento del personale </w:t>
            </w:r>
          </w:p>
          <w:p w:rsidR="002C75ED" w:rsidRPr="002C75ED" w:rsidRDefault="002C75ED" w:rsidP="002C75ED">
            <w:pPr>
              <w:pStyle w:val="Paragrafoelenco"/>
              <w:widowControl w:val="0"/>
              <w:numPr>
                <w:ilvl w:val="0"/>
                <w:numId w:val="6"/>
              </w:numPr>
            </w:pPr>
            <w:r w:rsidRPr="002C75ED">
              <w:rPr>
                <w:bCs/>
              </w:rPr>
              <w:t>SOC Politiche del reclutamento e rapporti con ESTAR   </w:t>
            </w:r>
          </w:p>
          <w:p w:rsidR="002C75ED" w:rsidRPr="002C75ED" w:rsidRDefault="002C75ED" w:rsidP="002C75ED">
            <w:pPr>
              <w:pStyle w:val="Paragrafoelenco"/>
              <w:widowControl w:val="0"/>
              <w:numPr>
                <w:ilvl w:val="0"/>
                <w:numId w:val="6"/>
              </w:numPr>
            </w:pPr>
            <w:r w:rsidRPr="002C75ED">
              <w:rPr>
                <w:bCs/>
              </w:rPr>
              <w:t xml:space="preserve">SOS Acquisizione del personale della specialistica ambulatoriale </w:t>
            </w:r>
          </w:p>
          <w:p w:rsidR="002C75ED" w:rsidRPr="002C75ED" w:rsidRDefault="002C75ED" w:rsidP="002C75ED">
            <w:pPr>
              <w:widowControl w:val="0"/>
              <w:numPr>
                <w:ilvl w:val="0"/>
                <w:numId w:val="5"/>
              </w:numPr>
            </w:pPr>
            <w:r w:rsidRPr="002C75ED">
              <w:rPr>
                <w:bCs/>
              </w:rPr>
              <w:t xml:space="preserve">SOC Gestione giuridica della medicina a ciclo di fiducia e gestione dei comitati aziendali </w:t>
            </w:r>
          </w:p>
          <w:p w:rsidR="002C75ED" w:rsidRDefault="002C75ED" w:rsidP="002C75ED">
            <w:pPr>
              <w:widowControl w:val="0"/>
              <w:rPr>
                <w:b/>
                <w:bCs/>
              </w:rPr>
            </w:pPr>
          </w:p>
          <w:p w:rsidR="002C75ED" w:rsidRPr="002C75ED" w:rsidRDefault="002C75ED" w:rsidP="002C75ED">
            <w:pPr>
              <w:widowControl w:val="0"/>
              <w:rPr>
                <w:u w:val="single"/>
              </w:rPr>
            </w:pPr>
            <w:r w:rsidRPr="002C75ED">
              <w:rPr>
                <w:bCs/>
                <w:u w:val="single"/>
              </w:rPr>
              <w:t>SOC Politiche economiche   </w:t>
            </w:r>
          </w:p>
          <w:p w:rsidR="002C75ED" w:rsidRDefault="002C75ED" w:rsidP="002C75ED">
            <w:pPr>
              <w:widowControl w:val="0"/>
              <w:numPr>
                <w:ilvl w:val="0"/>
                <w:numId w:val="7"/>
              </w:numPr>
            </w:pPr>
            <w:r>
              <w:rPr>
                <w:bCs/>
              </w:rPr>
              <w:t xml:space="preserve">SOS Libera professione </w:t>
            </w:r>
          </w:p>
          <w:p w:rsidR="002C75ED" w:rsidRDefault="002C75ED" w:rsidP="002C75ED">
            <w:pPr>
              <w:widowControl w:val="0"/>
            </w:pPr>
          </w:p>
          <w:p w:rsidR="009D6D29" w:rsidRPr="002C75ED" w:rsidRDefault="002C75ED" w:rsidP="002C75ED">
            <w:pPr>
              <w:widowControl w:val="0"/>
              <w:rPr>
                <w:u w:val="single"/>
              </w:rPr>
            </w:pPr>
            <w:r w:rsidRPr="002C75ED">
              <w:rPr>
                <w:u w:val="single"/>
              </w:rPr>
              <w:t>SOC Valorizzazione del personale e relazioni sindacali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Pr="00105805" w:rsidRDefault="00FB475F">
            <w:pPr>
              <w:widowControl w:val="0"/>
              <w:rPr>
                <w:b/>
                <w:bCs/>
              </w:rPr>
            </w:pPr>
            <w:r w:rsidRPr="00105805">
              <w:rPr>
                <w:b/>
                <w:bCs/>
              </w:rPr>
              <w:t>Funzioni e attività dello Staff/Dipartimento e delle relative strutture:</w:t>
            </w:r>
          </w:p>
        </w:tc>
      </w:tr>
      <w:tr w:rsidR="001E4C9A" w:rsidTr="009415A5">
        <w:trPr>
          <w:trHeight w:val="2350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4D4" w:rsidRPr="006F04D4" w:rsidRDefault="006F04D4" w:rsidP="006F04D4">
            <w:pPr>
              <w:widowControl w:val="0"/>
              <w:rPr>
                <w:rFonts w:cstheme="minorHAnsi"/>
                <w:color w:val="1C2024"/>
                <w:spacing w:val="2"/>
              </w:rPr>
            </w:pPr>
            <w:r w:rsidRPr="006F04D4">
              <w:rPr>
                <w:rFonts w:cstheme="minorHAnsi"/>
                <w:color w:val="1C2024"/>
                <w:spacing w:val="2"/>
              </w:rPr>
              <w:t>Il Dipartimento Risorse Umane svolge una funzione di coordinamento di tutti i processi collegati alla acquisizione e gestione del personale.</w:t>
            </w:r>
          </w:p>
          <w:p w:rsidR="00DD0D1F" w:rsidRDefault="00DD0D1F" w:rsidP="006F04D4">
            <w:pPr>
              <w:widowControl w:val="0"/>
              <w:rPr>
                <w:rFonts w:cstheme="minorHAnsi"/>
                <w:color w:val="1C2024"/>
                <w:spacing w:val="2"/>
              </w:rPr>
            </w:pPr>
          </w:p>
          <w:p w:rsidR="006F04D4" w:rsidRDefault="00C03E09" w:rsidP="006F04D4">
            <w:pPr>
              <w:widowControl w:val="0"/>
              <w:rPr>
                <w:rFonts w:cstheme="minorHAnsi"/>
                <w:color w:val="1C2024"/>
                <w:spacing w:val="2"/>
              </w:rPr>
            </w:pPr>
            <w:r>
              <w:rPr>
                <w:rFonts w:cstheme="minorHAnsi"/>
                <w:color w:val="1C2024"/>
                <w:spacing w:val="2"/>
              </w:rPr>
              <w:t>Lo stesso, a</w:t>
            </w:r>
            <w:r w:rsidR="006F04D4" w:rsidRPr="006F04D4">
              <w:rPr>
                <w:rFonts w:cstheme="minorHAnsi"/>
                <w:color w:val="1C2024"/>
                <w:spacing w:val="2"/>
              </w:rPr>
              <w:t xml:space="preserve">l fine di assicurare processi lavorativi efficaci ed efficienti nel rispetto delle </w:t>
            </w:r>
            <w:r w:rsidR="006F7EA3">
              <w:rPr>
                <w:rFonts w:cstheme="minorHAnsi"/>
                <w:color w:val="1C2024"/>
                <w:spacing w:val="2"/>
              </w:rPr>
              <w:t xml:space="preserve">linee guida regionali, </w:t>
            </w:r>
            <w:r w:rsidR="006F04D4">
              <w:rPr>
                <w:rFonts w:cstheme="minorHAnsi"/>
                <w:color w:val="1C2024"/>
                <w:spacing w:val="2"/>
              </w:rPr>
              <w:t xml:space="preserve">attraverso il </w:t>
            </w:r>
            <w:r w:rsidR="006F04D4" w:rsidRPr="006F04D4">
              <w:rPr>
                <w:rFonts w:cstheme="minorHAnsi"/>
                <w:color w:val="1C2024"/>
                <w:spacing w:val="2"/>
              </w:rPr>
              <w:t>Direttore di Dipartimento, partecipa alla programmazione supportando la Direzione Aziendale nella definizione degli obiettivi strategici.</w:t>
            </w:r>
          </w:p>
          <w:p w:rsidR="00964FF1" w:rsidRDefault="00964FF1" w:rsidP="006F04D4">
            <w:pPr>
              <w:widowControl w:val="0"/>
              <w:rPr>
                <w:rFonts w:cstheme="minorHAnsi"/>
                <w:color w:val="1C2024"/>
                <w:spacing w:val="2"/>
              </w:rPr>
            </w:pPr>
            <w:r>
              <w:rPr>
                <w:rFonts w:cstheme="minorHAnsi"/>
                <w:color w:val="1C2024"/>
                <w:spacing w:val="2"/>
              </w:rPr>
              <w:t>Pone quindi in essere la propria attività realizzando</w:t>
            </w:r>
            <w:r w:rsidR="006F04D4" w:rsidRPr="006F04D4">
              <w:rPr>
                <w:rFonts w:cstheme="minorHAnsi"/>
                <w:color w:val="1C2024"/>
                <w:spacing w:val="2"/>
              </w:rPr>
              <w:t xml:space="preserve"> politiche di gestione delle risorse umane con </w:t>
            </w:r>
            <w:r w:rsidR="006F7EA3">
              <w:rPr>
                <w:rFonts w:cstheme="minorHAnsi"/>
                <w:color w:val="1C2024"/>
                <w:spacing w:val="2"/>
              </w:rPr>
              <w:t>il proposito</w:t>
            </w:r>
            <w:r w:rsidR="006F04D4" w:rsidRPr="006F04D4">
              <w:rPr>
                <w:rFonts w:cstheme="minorHAnsi"/>
                <w:color w:val="1C2024"/>
                <w:spacing w:val="2"/>
              </w:rPr>
              <w:t xml:space="preserve"> della migliore utilizzazione delle stesse, anche attraverso sistemi di valutazione e percorsi formativi complessivamente tesi allo sviluppo professionale. </w:t>
            </w:r>
          </w:p>
          <w:p w:rsidR="006F7EA3" w:rsidRPr="00964FF1" w:rsidRDefault="00964FF1" w:rsidP="006F7EA3">
            <w:pPr>
              <w:widowControl w:val="0"/>
              <w:spacing w:after="0"/>
              <w:rPr>
                <w:rFonts w:cstheme="minorHAnsi"/>
                <w:color w:val="1C2024"/>
                <w:spacing w:val="2"/>
              </w:rPr>
            </w:pPr>
            <w:r>
              <w:rPr>
                <w:rFonts w:cstheme="minorHAnsi"/>
                <w:color w:val="1C2024"/>
                <w:spacing w:val="2"/>
              </w:rPr>
              <w:t xml:space="preserve">A tale scopo </w:t>
            </w:r>
            <w:r w:rsidR="006F7EA3">
              <w:rPr>
                <w:rFonts w:cstheme="minorHAnsi"/>
                <w:color w:val="1C2024"/>
                <w:spacing w:val="2"/>
              </w:rPr>
              <w:t>realizza azioni</w:t>
            </w:r>
            <w:r w:rsidR="006F04D4" w:rsidRPr="006F04D4">
              <w:rPr>
                <w:rFonts w:cstheme="minorHAnsi"/>
                <w:color w:val="1C2024"/>
                <w:spacing w:val="2"/>
              </w:rPr>
              <w:t xml:space="preserve"> di efficientamento in termini di ot</w:t>
            </w:r>
            <w:r w:rsidR="00A30C6D">
              <w:rPr>
                <w:rFonts w:cstheme="minorHAnsi"/>
                <w:color w:val="1C2024"/>
                <w:spacing w:val="2"/>
              </w:rPr>
              <w:t>timizzazione</w:t>
            </w:r>
            <w:r w:rsidR="006F7EA3">
              <w:rPr>
                <w:rFonts w:cstheme="minorHAnsi"/>
                <w:color w:val="1C2024"/>
                <w:spacing w:val="2"/>
              </w:rPr>
              <w:t xml:space="preserve"> del lavoro</w:t>
            </w:r>
            <w:r w:rsidR="00A30C6D">
              <w:rPr>
                <w:rFonts w:cstheme="minorHAnsi"/>
                <w:color w:val="1C2024"/>
                <w:spacing w:val="2"/>
              </w:rPr>
              <w:t xml:space="preserve">, </w:t>
            </w:r>
            <w:r w:rsidR="006F04D4" w:rsidRPr="006F04D4">
              <w:rPr>
                <w:rFonts w:cstheme="minorHAnsi"/>
                <w:color w:val="1C2024"/>
                <w:spacing w:val="2"/>
              </w:rPr>
              <w:t>processi e di contenimento dei costi, relazionandosi con tutte le strutture aziendali.</w:t>
            </w:r>
            <w:r w:rsidR="006F7EA3">
              <w:rPr>
                <w:rFonts w:cstheme="minorHAnsi"/>
                <w:color w:val="1C2024"/>
                <w:spacing w:val="2"/>
              </w:rPr>
              <w:t xml:space="preserve"> Offre </w:t>
            </w:r>
            <w:r w:rsidR="00DD0D1F">
              <w:rPr>
                <w:rFonts w:cstheme="minorHAnsi"/>
                <w:color w:val="1C2024"/>
                <w:spacing w:val="2"/>
              </w:rPr>
              <w:t xml:space="preserve">in questo senso </w:t>
            </w:r>
            <w:r w:rsidR="006F7EA3">
              <w:rPr>
                <w:rFonts w:cstheme="minorHAnsi"/>
                <w:color w:val="1C2024"/>
                <w:spacing w:val="2"/>
              </w:rPr>
              <w:t>supporto ai s</w:t>
            </w:r>
            <w:r w:rsidR="006F7EA3" w:rsidRPr="00964FF1">
              <w:rPr>
                <w:rFonts w:cstheme="minorHAnsi"/>
                <w:color w:val="1C2024"/>
                <w:spacing w:val="2"/>
              </w:rPr>
              <w:t xml:space="preserve">ervizi </w:t>
            </w:r>
            <w:r w:rsidR="006F7EA3">
              <w:rPr>
                <w:rFonts w:cstheme="minorHAnsi"/>
                <w:color w:val="1C2024"/>
                <w:spacing w:val="2"/>
              </w:rPr>
              <w:t>dei vari Dipartimenti</w:t>
            </w:r>
            <w:r w:rsidR="006F7EA3" w:rsidRPr="00964FF1">
              <w:rPr>
                <w:rFonts w:cstheme="minorHAnsi"/>
                <w:color w:val="1C2024"/>
                <w:spacing w:val="2"/>
              </w:rPr>
              <w:t xml:space="preserve"> per la pianificazione strategica del capitale umano, </w:t>
            </w:r>
            <w:r w:rsidR="00DD0D1F">
              <w:rPr>
                <w:rFonts w:cstheme="minorHAnsi"/>
                <w:color w:val="1C2024"/>
                <w:spacing w:val="2"/>
              </w:rPr>
              <w:t>del</w:t>
            </w:r>
            <w:r w:rsidR="006F7EA3" w:rsidRPr="00964FF1">
              <w:rPr>
                <w:rFonts w:cstheme="minorHAnsi"/>
                <w:color w:val="1C2024"/>
                <w:spacing w:val="2"/>
              </w:rPr>
              <w:t xml:space="preserve"> </w:t>
            </w:r>
            <w:r w:rsidR="006F7EA3" w:rsidRPr="00964FF1">
              <w:rPr>
                <w:rFonts w:cstheme="minorHAnsi"/>
                <w:color w:val="1C2024"/>
                <w:spacing w:val="2"/>
              </w:rPr>
              <w:lastRenderedPageBreak/>
              <w:t>controllo di gestione e</w:t>
            </w:r>
            <w:r w:rsidR="00DD0D1F">
              <w:rPr>
                <w:rFonts w:cstheme="minorHAnsi"/>
                <w:color w:val="1C2024"/>
                <w:spacing w:val="2"/>
              </w:rPr>
              <w:t xml:space="preserve"> per</w:t>
            </w:r>
            <w:r w:rsidR="006F7EA3" w:rsidRPr="00964FF1">
              <w:rPr>
                <w:rFonts w:cstheme="minorHAnsi"/>
                <w:color w:val="1C2024"/>
                <w:spacing w:val="2"/>
              </w:rPr>
              <w:t xml:space="preserve"> l'applicazione delle normative sulla trasparenza e la legalità.</w:t>
            </w:r>
          </w:p>
          <w:p w:rsidR="00A30C6D" w:rsidRDefault="00964FF1" w:rsidP="00964FF1">
            <w:pPr>
              <w:widowControl w:val="0"/>
              <w:rPr>
                <w:rFonts w:cstheme="minorHAnsi"/>
                <w:color w:val="1C2024"/>
                <w:spacing w:val="2"/>
              </w:rPr>
            </w:pPr>
            <w:r w:rsidRPr="00964FF1">
              <w:rPr>
                <w:rFonts w:cstheme="minorHAnsi"/>
                <w:color w:val="1C2024"/>
                <w:spacing w:val="2"/>
              </w:rPr>
              <w:t>Garantisce un contesto lavorativo che promuova lo sviluppo delle persone valorizzando le competenze, l’autonomia professionale, l’integrazione multidisciplinare, la responsabilizzazione e l’orientamento ai risultati.</w:t>
            </w:r>
          </w:p>
          <w:p w:rsidR="000B61A8" w:rsidRPr="006F7EA3" w:rsidRDefault="00A30C6D" w:rsidP="009415A5">
            <w:pPr>
              <w:widowControl w:val="0"/>
              <w:rPr>
                <w:rFonts w:cstheme="minorHAnsi"/>
                <w:color w:val="1C2024"/>
                <w:spacing w:val="2"/>
              </w:rPr>
            </w:pPr>
            <w:r>
              <w:rPr>
                <w:rFonts w:cstheme="minorHAnsi"/>
                <w:color w:val="1C2024"/>
                <w:spacing w:val="2"/>
              </w:rPr>
              <w:t>Non ultimo</w:t>
            </w:r>
            <w:r w:rsidR="009415A5">
              <w:rPr>
                <w:rFonts w:cstheme="minorHAnsi"/>
                <w:color w:val="1C2024"/>
                <w:spacing w:val="2"/>
              </w:rPr>
              <w:t>, il Dipartimento</w:t>
            </w:r>
            <w:r>
              <w:rPr>
                <w:rFonts w:cstheme="minorHAnsi"/>
                <w:color w:val="1C2024"/>
                <w:spacing w:val="2"/>
              </w:rPr>
              <w:t xml:space="preserve"> si occupa </w:t>
            </w:r>
            <w:r w:rsidR="009415A5">
              <w:rPr>
                <w:rFonts w:cstheme="minorHAnsi"/>
                <w:color w:val="1C2024"/>
                <w:spacing w:val="2"/>
              </w:rPr>
              <w:t>di formare e coltivare i</w:t>
            </w:r>
            <w:r w:rsidR="00964FF1" w:rsidRPr="00964FF1">
              <w:rPr>
                <w:rFonts w:cstheme="minorHAnsi"/>
                <w:color w:val="1C2024"/>
                <w:spacing w:val="2"/>
              </w:rPr>
              <w:t xml:space="preserve"> rapporti con le organizzazioni s</w:t>
            </w:r>
            <w:r>
              <w:rPr>
                <w:rFonts w:cstheme="minorHAnsi"/>
                <w:color w:val="1C2024"/>
                <w:spacing w:val="2"/>
              </w:rPr>
              <w:t>indacali della Dirigenza e del C</w:t>
            </w:r>
            <w:r w:rsidR="00964FF1" w:rsidRPr="00964FF1">
              <w:rPr>
                <w:rFonts w:cstheme="minorHAnsi"/>
                <w:color w:val="1C2024"/>
                <w:spacing w:val="2"/>
              </w:rPr>
              <w:t>omparto</w:t>
            </w:r>
            <w:r>
              <w:rPr>
                <w:rFonts w:cstheme="minorHAnsi"/>
                <w:color w:val="1C2024"/>
                <w:spacing w:val="2"/>
              </w:rPr>
              <w:t>, predisponendo</w:t>
            </w:r>
            <w:r w:rsidR="009415A5">
              <w:rPr>
                <w:rFonts w:cstheme="minorHAnsi"/>
                <w:color w:val="1C2024"/>
                <w:spacing w:val="2"/>
              </w:rPr>
              <w:t xml:space="preserve"> e realizzando</w:t>
            </w:r>
            <w:r w:rsidR="00964FF1" w:rsidRPr="00964FF1">
              <w:rPr>
                <w:rFonts w:cstheme="minorHAnsi"/>
                <w:color w:val="1C2024"/>
                <w:spacing w:val="2"/>
              </w:rPr>
              <w:t xml:space="preserve"> tavoli di </w:t>
            </w:r>
            <w:r>
              <w:rPr>
                <w:rFonts w:cstheme="minorHAnsi"/>
                <w:color w:val="1C2024"/>
                <w:spacing w:val="2"/>
              </w:rPr>
              <w:t>contrattazione e concertazione per l’</w:t>
            </w:r>
            <w:r w:rsidR="00964FF1" w:rsidRPr="00964FF1">
              <w:rPr>
                <w:rFonts w:cstheme="minorHAnsi"/>
                <w:color w:val="1C2024"/>
                <w:spacing w:val="2"/>
              </w:rPr>
              <w:t>applicazione contra</w:t>
            </w:r>
            <w:r>
              <w:rPr>
                <w:rFonts w:cstheme="minorHAnsi"/>
                <w:color w:val="1C2024"/>
                <w:spacing w:val="2"/>
              </w:rPr>
              <w:t xml:space="preserve">ttualistica collettiva. </w:t>
            </w:r>
            <w:bookmarkStart w:id="0" w:name="_GoBack"/>
            <w:bookmarkEnd w:id="0"/>
          </w:p>
        </w:tc>
      </w:tr>
    </w:tbl>
    <w:p w:rsidR="001E4C9A" w:rsidRDefault="001E4C9A"/>
    <w:sectPr w:rsidR="001E4C9A" w:rsidSect="001E4C9A">
      <w:footerReference w:type="default" r:id="rId7"/>
      <w:pgSz w:w="11906" w:h="16838"/>
      <w:pgMar w:top="1417" w:right="1134" w:bottom="1824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456" w:rsidRDefault="00A07456" w:rsidP="001E4C9A">
      <w:pPr>
        <w:spacing w:before="0" w:after="0"/>
      </w:pPr>
      <w:r>
        <w:separator/>
      </w:r>
    </w:p>
  </w:endnote>
  <w:endnote w:type="continuationSeparator" w:id="1">
    <w:p w:rsidR="00A07456" w:rsidRDefault="00A07456" w:rsidP="001E4C9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9A" w:rsidRDefault="00FB475F">
    <w:pPr>
      <w:pStyle w:val="Pidipagina1"/>
      <w:jc w:val="center"/>
    </w:pPr>
    <w:r>
      <w:t xml:space="preserve">Pagina </w:t>
    </w:r>
    <w:r w:rsidR="00770656">
      <w:fldChar w:fldCharType="begin"/>
    </w:r>
    <w:r>
      <w:instrText>PAGE</w:instrText>
    </w:r>
    <w:r w:rsidR="00770656">
      <w:fldChar w:fldCharType="separate"/>
    </w:r>
    <w:r w:rsidR="00856BE1">
      <w:rPr>
        <w:noProof/>
      </w:rPr>
      <w:t>1</w:t>
    </w:r>
    <w:r w:rsidR="00770656">
      <w:fldChar w:fldCharType="end"/>
    </w:r>
    <w:r>
      <w:t xml:space="preserve"> di </w:t>
    </w:r>
    <w:r w:rsidR="00770656">
      <w:fldChar w:fldCharType="begin"/>
    </w:r>
    <w:r>
      <w:instrText>NUMPAGES</w:instrText>
    </w:r>
    <w:r w:rsidR="00770656">
      <w:fldChar w:fldCharType="separate"/>
    </w:r>
    <w:r w:rsidR="00856BE1">
      <w:rPr>
        <w:noProof/>
      </w:rPr>
      <w:t>2</w:t>
    </w:r>
    <w:r w:rsidR="00770656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456" w:rsidRDefault="00A07456" w:rsidP="001E4C9A">
      <w:pPr>
        <w:spacing w:before="0" w:after="0"/>
      </w:pPr>
      <w:r>
        <w:separator/>
      </w:r>
    </w:p>
  </w:footnote>
  <w:footnote w:type="continuationSeparator" w:id="1">
    <w:p w:rsidR="00A07456" w:rsidRDefault="00A07456" w:rsidP="001E4C9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D60"/>
    <w:multiLevelType w:val="multilevel"/>
    <w:tmpl w:val="AE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3276531"/>
    <w:multiLevelType w:val="multilevel"/>
    <w:tmpl w:val="8FAC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B65F4"/>
    <w:multiLevelType w:val="hybridMultilevel"/>
    <w:tmpl w:val="3F562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70814"/>
    <w:multiLevelType w:val="multilevel"/>
    <w:tmpl w:val="0D2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23700"/>
    <w:multiLevelType w:val="multilevel"/>
    <w:tmpl w:val="98D2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97819"/>
    <w:multiLevelType w:val="multilevel"/>
    <w:tmpl w:val="66428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0EA33C0"/>
    <w:multiLevelType w:val="multilevel"/>
    <w:tmpl w:val="38AA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1E6D87"/>
    <w:multiLevelType w:val="hybridMultilevel"/>
    <w:tmpl w:val="2FD6A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C9A"/>
    <w:rsid w:val="00063252"/>
    <w:rsid w:val="000B61A8"/>
    <w:rsid w:val="000C0D2B"/>
    <w:rsid w:val="0010211B"/>
    <w:rsid w:val="00105805"/>
    <w:rsid w:val="001E4C9A"/>
    <w:rsid w:val="001E6AF7"/>
    <w:rsid w:val="002C75ED"/>
    <w:rsid w:val="003632BB"/>
    <w:rsid w:val="003878E1"/>
    <w:rsid w:val="00401187"/>
    <w:rsid w:val="00421D0C"/>
    <w:rsid w:val="004B668D"/>
    <w:rsid w:val="005618D8"/>
    <w:rsid w:val="005639DE"/>
    <w:rsid w:val="005E0B08"/>
    <w:rsid w:val="005F3B3F"/>
    <w:rsid w:val="006773E0"/>
    <w:rsid w:val="006F04D4"/>
    <w:rsid w:val="006F7EA3"/>
    <w:rsid w:val="00770656"/>
    <w:rsid w:val="00856BE1"/>
    <w:rsid w:val="0088349D"/>
    <w:rsid w:val="008D67D5"/>
    <w:rsid w:val="008F4732"/>
    <w:rsid w:val="009415A5"/>
    <w:rsid w:val="00964FF1"/>
    <w:rsid w:val="009D6D29"/>
    <w:rsid w:val="009F1E6E"/>
    <w:rsid w:val="00A07456"/>
    <w:rsid w:val="00A30C6D"/>
    <w:rsid w:val="00A75F3B"/>
    <w:rsid w:val="00AD197F"/>
    <w:rsid w:val="00B1533E"/>
    <w:rsid w:val="00BC1B23"/>
    <w:rsid w:val="00BF2D51"/>
    <w:rsid w:val="00BF7F1E"/>
    <w:rsid w:val="00C03E09"/>
    <w:rsid w:val="00DD0D1F"/>
    <w:rsid w:val="00E248EE"/>
    <w:rsid w:val="00E5104D"/>
    <w:rsid w:val="00E82869"/>
    <w:rsid w:val="00E97D3F"/>
    <w:rsid w:val="00FB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F26"/>
    <w:pPr>
      <w:spacing w:before="57" w:after="57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qFormat/>
    <w:rsid w:val="001E4C9A"/>
    <w:rPr>
      <w:b/>
      <w:bCs/>
    </w:rPr>
  </w:style>
  <w:style w:type="character" w:customStyle="1" w:styleId="Punti">
    <w:name w:val="Punti"/>
    <w:qFormat/>
    <w:rsid w:val="001E4C9A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1E4C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E4C9A"/>
    <w:pPr>
      <w:spacing w:before="0" w:after="140" w:line="276" w:lineRule="auto"/>
    </w:pPr>
  </w:style>
  <w:style w:type="paragraph" w:styleId="Elenco">
    <w:name w:val="List"/>
    <w:basedOn w:val="Corpodeltesto"/>
    <w:rsid w:val="001E4C9A"/>
    <w:rPr>
      <w:rFonts w:cs="Lucida Sans"/>
    </w:rPr>
  </w:style>
  <w:style w:type="paragraph" w:customStyle="1" w:styleId="Didascalia1">
    <w:name w:val="Didascalia1"/>
    <w:basedOn w:val="Normale"/>
    <w:qFormat/>
    <w:rsid w:val="001E4C9A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E4C9A"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rsid w:val="001E4C9A"/>
    <w:pPr>
      <w:widowControl w:val="0"/>
      <w:suppressLineNumbers/>
    </w:pPr>
  </w:style>
  <w:style w:type="paragraph" w:customStyle="1" w:styleId="Intestazioneepidipagina">
    <w:name w:val="Intestazione e piè di pagina"/>
    <w:basedOn w:val="Normale"/>
    <w:qFormat/>
    <w:rsid w:val="001E4C9A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Intestazioneepidipagina"/>
    <w:rsid w:val="001E4C9A"/>
  </w:style>
  <w:style w:type="paragraph" w:styleId="Paragrafoelenco">
    <w:name w:val="List Paragraph"/>
    <w:basedOn w:val="Normale"/>
    <w:uiPriority w:val="34"/>
    <w:qFormat/>
    <w:rsid w:val="003632B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C75ED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2C75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sonnj.paccagnini</cp:lastModifiedBy>
  <cp:revision>2</cp:revision>
  <cp:lastPrinted>2023-05-05T08:59:00Z</cp:lastPrinted>
  <dcterms:created xsi:type="dcterms:W3CDTF">2023-05-05T10:12:00Z</dcterms:created>
  <dcterms:modified xsi:type="dcterms:W3CDTF">2023-05-05T10:12:00Z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