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BD223C">
            <w:pPr>
              <w:widowControl w:val="0"/>
            </w:pPr>
            <w:r>
              <w:rPr>
                <w:color w:val="333333"/>
              </w:rPr>
              <w:t>Staff Direzione Sanitaria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BD223C">
            <w:pPr>
              <w:widowControl w:val="0"/>
            </w:pPr>
            <w:r>
              <w:t>Silvia Guarducci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004E02" w:rsidRDefault="00BD223C" w:rsidP="00B9118B">
            <w:pPr>
              <w:widowControl w:val="0"/>
            </w:pPr>
            <w:r w:rsidRPr="00004E02">
              <w:t>Lo Staff Direzione Sanitaria</w:t>
            </w:r>
            <w:r w:rsidR="00FB475F" w:rsidRPr="00004E02">
              <w:t xml:space="preserve"> è costituito dalle seguenti Unità Operative: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 xml:space="preserve">SOC Governo e appropriatezza risposte sanitarie e liste di attesa 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Modelli e standard dell'assistenza territoriale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Percorsi di Continuità Assistenziale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</w:t>
            </w:r>
            <w:r w:rsidR="00113B3C" w:rsidRPr="00004E02">
              <w:t>C</w:t>
            </w:r>
            <w:r w:rsidRPr="00004E02">
              <w:t xml:space="preserve"> Screening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Semplificazione e modelli organizzativi dei percorsi di cura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 xml:space="preserve">SOS Verifica e monitoraggio appropriatezza percorsi di cura </w:t>
            </w:r>
          </w:p>
          <w:p w:rsidR="00BD223C" w:rsidRPr="00004E02" w:rsidRDefault="00BD223C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Gestione della responsabilità sanitaria</w:t>
            </w:r>
          </w:p>
          <w:p w:rsidR="00BD223C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Medicina Preventiva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Gestione procedure autorizzative strutture sanitarie aziendali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Accreditamento e qualità e sicurezza delle cure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Infezioni correlate all'assistenza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Programmazione e monitoraggio documentazione</w:t>
            </w:r>
            <w:r w:rsidR="00113B3C" w:rsidRPr="00004E02">
              <w:t xml:space="preserve"> sanitaria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Rischio clinico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Medicina Legale del Welfare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Medicina Legale Empoli Prato Pistoia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SOS Medicina Legale Firenze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Programmazione e monitoraggio</w:t>
            </w:r>
          </w:p>
          <w:p w:rsidR="00982A73" w:rsidRPr="00004E02" w:rsidRDefault="00982A73" w:rsidP="00BD223C">
            <w:pPr>
              <w:widowControl w:val="0"/>
              <w:numPr>
                <w:ilvl w:val="0"/>
                <w:numId w:val="1"/>
              </w:numPr>
            </w:pPr>
            <w:r w:rsidRPr="00004E02">
              <w:t>SOC Valutazionedei servizi sanitari e analisi performance</w:t>
            </w:r>
          </w:p>
          <w:p w:rsidR="00BD223C" w:rsidRDefault="00982A73" w:rsidP="00B9118B">
            <w:pPr>
              <w:widowControl w:val="0"/>
              <w:numPr>
                <w:ilvl w:val="0"/>
                <w:numId w:val="1"/>
              </w:numPr>
            </w:pPr>
            <w:r w:rsidRPr="00004E02">
              <w:t>SOS Etica e cura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 w:rsidP="00982A7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Funzioni e attività dello Staff</w:t>
            </w:r>
            <w:r w:rsidR="00982A73">
              <w:rPr>
                <w:b/>
                <w:bCs/>
              </w:rPr>
              <w:t xml:space="preserve"> Direzione Sanitaria </w:t>
            </w:r>
            <w:r>
              <w:rPr>
                <w:b/>
                <w:bCs/>
              </w:rPr>
              <w:t xml:space="preserve">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1CE" w:rsidRPr="00B9118B" w:rsidRDefault="00181466" w:rsidP="009D41CE">
            <w:pPr>
              <w:widowControl w:val="0"/>
              <w:rPr>
                <w:rFonts w:cstheme="minorHAnsi"/>
                <w:bCs/>
              </w:rPr>
            </w:pPr>
            <w:r w:rsidRPr="00B9118B">
              <w:rPr>
                <w:rFonts w:cstheme="minorHAnsi"/>
                <w:bCs/>
              </w:rPr>
              <w:t xml:space="preserve">Le strutture dello staff della direzione sanitaria si occupano </w:t>
            </w:r>
            <w:r w:rsidR="009D41CE" w:rsidRPr="00B9118B">
              <w:rPr>
                <w:rFonts w:cstheme="minorHAnsi"/>
                <w:bCs/>
              </w:rPr>
              <w:t>in maniera trasversale dei seguenti temi, attraverso le strutture afferenti:</w:t>
            </w:r>
          </w:p>
          <w:p w:rsidR="00BA5440" w:rsidRPr="00B9118B" w:rsidRDefault="00BA5440" w:rsidP="009D41CE">
            <w:pPr>
              <w:widowControl w:val="0"/>
              <w:rPr>
                <w:rFonts w:cstheme="minorHAnsi"/>
                <w:bCs/>
              </w:rPr>
            </w:pPr>
          </w:p>
          <w:p w:rsidR="009D41CE" w:rsidRDefault="009D41CE">
            <w:pPr>
              <w:widowControl w:val="0"/>
              <w:rPr>
                <w:rFonts w:cstheme="minorHAnsi"/>
                <w:bCs/>
              </w:rPr>
            </w:pPr>
            <w:r w:rsidRPr="00B9118B">
              <w:rPr>
                <w:rFonts w:cstheme="minorHAnsi"/>
                <w:bCs/>
              </w:rPr>
              <w:t xml:space="preserve">Pianificazione strategica, programmazione annuale e monitoraggio a livello aziendale attraverso </w:t>
            </w:r>
            <w:r w:rsidR="00844475" w:rsidRPr="00B9118B">
              <w:rPr>
                <w:rFonts w:cstheme="minorHAnsi"/>
                <w:bCs/>
              </w:rPr>
              <w:t xml:space="preserve">l'individuazione e promozione degli obiettivi annuali delle articolazioni sanitarie, operando in </w:t>
            </w:r>
            <w:r w:rsidR="00844475" w:rsidRPr="00B9118B">
              <w:rPr>
                <w:rFonts w:cstheme="minorHAnsi"/>
                <w:bCs/>
              </w:rPr>
              <w:lastRenderedPageBreak/>
              <w:t xml:space="preserve">modo che gli stessi siano integrati e coerenti con la programmazione aziendale e regionale </w:t>
            </w:r>
            <w:r w:rsidRPr="00B9118B">
              <w:rPr>
                <w:rFonts w:cstheme="minorHAnsi"/>
                <w:bCs/>
              </w:rPr>
              <w:t>tramite il processo</w:t>
            </w:r>
            <w:r w:rsidR="00844475" w:rsidRPr="00B9118B">
              <w:rPr>
                <w:rFonts w:cstheme="minorHAnsi"/>
                <w:bCs/>
              </w:rPr>
              <w:t xml:space="preserve"> di budgetin</w:t>
            </w:r>
            <w:r w:rsidRPr="00B9118B">
              <w:rPr>
                <w:rFonts w:cstheme="minorHAnsi"/>
                <w:bCs/>
              </w:rPr>
              <w:t>g</w:t>
            </w:r>
            <w:r w:rsidR="00844475" w:rsidRPr="00B9118B">
              <w:rPr>
                <w:rFonts w:cstheme="minorHAnsi"/>
                <w:bCs/>
              </w:rPr>
              <w:t xml:space="preserve">, in sinergia con </w:t>
            </w:r>
            <w:r w:rsidRPr="00B9118B">
              <w:rPr>
                <w:rFonts w:cstheme="minorHAnsi"/>
                <w:bCs/>
              </w:rPr>
              <w:t>le altre strutture coinvolte.</w:t>
            </w:r>
          </w:p>
          <w:p w:rsidR="00B9118B" w:rsidRPr="00B9118B" w:rsidRDefault="00B9118B">
            <w:pPr>
              <w:widowControl w:val="0"/>
              <w:rPr>
                <w:rFonts w:cstheme="minorHAnsi"/>
                <w:bCs/>
              </w:rPr>
            </w:pPr>
          </w:p>
          <w:p w:rsidR="00181466" w:rsidRPr="009D41CE" w:rsidRDefault="00B9118B" w:rsidP="00674816">
            <w:pPr>
              <w:widowControl w:val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Valutazione </w:t>
            </w:r>
            <w:r w:rsidRPr="009D41CE">
              <w:rPr>
                <w:rFonts w:cstheme="minorHAnsi"/>
                <w:bCs/>
              </w:rPr>
              <w:t>delle</w:t>
            </w:r>
            <w:r w:rsidR="00181466" w:rsidRPr="009D41CE">
              <w:rPr>
                <w:rFonts w:cstheme="minorHAnsi"/>
                <w:bCs/>
              </w:rPr>
              <w:t xml:space="preserve"> performance aziendali in term</w:t>
            </w:r>
            <w:r w:rsidR="009D41CE" w:rsidRPr="009D41CE">
              <w:rPr>
                <w:rFonts w:cstheme="minorHAnsi"/>
                <w:bCs/>
              </w:rPr>
              <w:t xml:space="preserve">ine di erogazione dei servizi ed </w:t>
            </w:r>
            <w:r w:rsidR="00181466" w:rsidRPr="009D41CE">
              <w:rPr>
                <w:rFonts w:cstheme="minorHAnsi"/>
                <w:bCs/>
              </w:rPr>
              <w:t>espresse</w:t>
            </w:r>
            <w:r w:rsidR="009D41CE" w:rsidRPr="009D41CE">
              <w:rPr>
                <w:rFonts w:cstheme="minorHAnsi"/>
                <w:bCs/>
              </w:rPr>
              <w:t xml:space="preserve"> anche</w:t>
            </w:r>
            <w:r w:rsidR="00181466" w:rsidRPr="009D41CE">
              <w:rPr>
                <w:rFonts w:cstheme="minorHAnsi"/>
                <w:bCs/>
              </w:rPr>
              <w:t xml:space="preserve"> come capacità di gestione dei processi di cura e degli esiti.</w:t>
            </w:r>
          </w:p>
          <w:p w:rsidR="009D41CE" w:rsidRPr="009D41CE" w:rsidRDefault="009D41CE">
            <w:pPr>
              <w:widowControl w:val="0"/>
              <w:rPr>
                <w:rFonts w:cstheme="minorHAnsi"/>
                <w:bCs/>
              </w:rPr>
            </w:pPr>
          </w:p>
          <w:p w:rsidR="00134FF8" w:rsidRDefault="009D41CE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Analisi</w:t>
            </w:r>
            <w:r w:rsidR="00134FF8" w:rsidRPr="009C7CD5">
              <w:rPr>
                <w:rFonts w:cstheme="minorHAnsi"/>
                <w:bCs/>
              </w:rPr>
              <w:t xml:space="preserve"> dei modelli organizzativi e dei percorsi di cura </w:t>
            </w:r>
            <w:r w:rsidR="00134FF8">
              <w:rPr>
                <w:rFonts w:cstheme="minorHAnsi"/>
                <w:bCs/>
              </w:rPr>
              <w:t>attraverso l’</w:t>
            </w:r>
            <w:r w:rsidR="00134FF8" w:rsidRPr="009C7CD5">
              <w:rPr>
                <w:rFonts w:cstheme="minorHAnsi"/>
                <w:bCs/>
              </w:rPr>
              <w:t>individuazione</w:t>
            </w:r>
            <w:r w:rsidR="00134FF8">
              <w:rPr>
                <w:rFonts w:cstheme="minorHAnsi"/>
                <w:bCs/>
              </w:rPr>
              <w:t xml:space="preserve"> e l’applicazione</w:t>
            </w:r>
            <w:r w:rsidR="00134FF8" w:rsidRPr="009C7CD5">
              <w:rPr>
                <w:rFonts w:cstheme="minorHAnsi"/>
                <w:bCs/>
              </w:rPr>
              <w:t xml:space="preserve"> di </w:t>
            </w:r>
            <w:r w:rsidR="00134FF8">
              <w:rPr>
                <w:rFonts w:cstheme="minorHAnsi"/>
                <w:bCs/>
              </w:rPr>
              <w:t>processi di semplificazione, di modelli e standard dell’assistenza e di percorsi di continuità ospedale territorio.</w:t>
            </w:r>
          </w:p>
          <w:p w:rsidR="00C255BD" w:rsidRDefault="00C255BD">
            <w:pPr>
              <w:widowControl w:val="0"/>
              <w:rPr>
                <w:rFonts w:cstheme="minorHAnsi"/>
                <w:bCs/>
              </w:rPr>
            </w:pPr>
          </w:p>
          <w:p w:rsidR="008D3F05" w:rsidRPr="009D41CE" w:rsidRDefault="009D41CE" w:rsidP="008D3F0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Organizzazione</w:t>
            </w:r>
            <w:r w:rsidR="008D3F05" w:rsidRPr="009D41CE">
              <w:rPr>
                <w:rFonts w:cstheme="minorHAnsi"/>
                <w:bCs/>
              </w:rPr>
              <w:t xml:space="preserve"> dei programmi di screening aziendali con l’obiettivo di assicurare il raggiungimento degli obiettivi regionali e nazionali in maniera uniforme e coerente sul tutto il territorio aziendale, con livelli qualitativi conformi alle linee guida europee e adeguati agli standard recepiti in sede regionale</w:t>
            </w:r>
            <w:r w:rsidR="00B9118B">
              <w:rPr>
                <w:rFonts w:cstheme="minorHAnsi"/>
                <w:bCs/>
              </w:rPr>
              <w:t>.</w:t>
            </w:r>
          </w:p>
          <w:p w:rsidR="00C255BD" w:rsidRPr="003D5A95" w:rsidRDefault="00C255BD" w:rsidP="008D3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F8" w:rsidRDefault="009D41CE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</w:t>
            </w:r>
            <w:r w:rsidR="00134FF8">
              <w:rPr>
                <w:rFonts w:cstheme="minorHAnsi"/>
                <w:bCs/>
              </w:rPr>
              <w:t>estione liste di attesa</w:t>
            </w:r>
            <w:r w:rsidR="00D232CB" w:rsidRPr="009D41CE">
              <w:rPr>
                <w:rFonts w:cstheme="minorHAnsi"/>
                <w:bCs/>
              </w:rPr>
              <w:t>per quanto concerne gli aspetti strategici e gestionali della produzione di prestazioni specialistiche ambulatoriali e predisposizione d’indirizzi per lo svolgimento dei processi di erogazione delle prestazioni ambulatoriali, improntati a criteri di efficienza, appropriatezza, accessibilità</w:t>
            </w:r>
            <w:r w:rsidR="00134FF8">
              <w:rPr>
                <w:rFonts w:cstheme="minorHAnsi"/>
                <w:bCs/>
              </w:rPr>
              <w:t>.</w:t>
            </w:r>
          </w:p>
          <w:p w:rsidR="00C255BD" w:rsidRDefault="00C255BD">
            <w:pPr>
              <w:widowControl w:val="0"/>
              <w:rPr>
                <w:rFonts w:cstheme="minorHAnsi"/>
                <w:bCs/>
              </w:rPr>
            </w:pPr>
          </w:p>
          <w:p w:rsidR="009D41CE" w:rsidRDefault="009D41CE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Funzionidi medicina legale, sia come</w:t>
            </w:r>
            <w:r w:rsidR="00134FF8">
              <w:rPr>
                <w:rFonts w:cstheme="minorHAnsi"/>
                <w:bCs/>
              </w:rPr>
              <w:t xml:space="preserve"> gestione di sinistri</w:t>
            </w:r>
            <w:r w:rsidR="00D232CB">
              <w:rPr>
                <w:rFonts w:cstheme="minorHAnsi"/>
                <w:bCs/>
              </w:rPr>
              <w:t xml:space="preserve"> (</w:t>
            </w:r>
            <w:r>
              <w:rPr>
                <w:rFonts w:cstheme="minorHAnsi"/>
                <w:bCs/>
              </w:rPr>
              <w:t>per</w:t>
            </w:r>
            <w:r w:rsidR="00D232CB">
              <w:t xml:space="preserve"> focalizzare, governare e presidiare a livello Aziendale le attività medico legali inerenti a tutte le istanze risarcitorie in tema di responsabilità professionale sanitaria, sia in ambito stragiudiz</w:t>
            </w:r>
            <w:r w:rsidR="00B9118B">
              <w:t xml:space="preserve">iale che nella sede giudiziale </w:t>
            </w:r>
            <w:r w:rsidR="00D232CB">
              <w:t xml:space="preserve">in diretta collaborazione con </w:t>
            </w:r>
            <w:r>
              <w:t xml:space="preserve">le altre strutture </w:t>
            </w:r>
            <w:r w:rsidR="003B0015">
              <w:t>aziendali)</w:t>
            </w:r>
            <w:r w:rsidR="00134FF8">
              <w:rPr>
                <w:rFonts w:cstheme="minorHAnsi"/>
                <w:bCs/>
              </w:rPr>
              <w:t>, che com</w:t>
            </w:r>
            <w:r>
              <w:rPr>
                <w:rFonts w:cstheme="minorHAnsi"/>
                <w:bCs/>
              </w:rPr>
              <w:t>e Welfare</w:t>
            </w:r>
            <w:r w:rsidR="00B9118B">
              <w:rPr>
                <w:rFonts w:cstheme="minorHAnsi"/>
                <w:bCs/>
              </w:rPr>
              <w:t>.</w:t>
            </w:r>
          </w:p>
          <w:p w:rsidR="009D41CE" w:rsidRDefault="009D41CE">
            <w:pPr>
              <w:widowControl w:val="0"/>
              <w:rPr>
                <w:rFonts w:cstheme="minorHAnsi"/>
                <w:bCs/>
              </w:rPr>
            </w:pPr>
          </w:p>
          <w:p w:rsidR="00134FF8" w:rsidRPr="009D41CE" w:rsidRDefault="009D41CE">
            <w:pPr>
              <w:widowControl w:val="0"/>
            </w:pPr>
            <w:r w:rsidRPr="009D41CE">
              <w:t>F</w:t>
            </w:r>
            <w:r w:rsidR="00B9118B">
              <w:t>unzioni di Etica e Cura e di T</w:t>
            </w:r>
            <w:r w:rsidR="00134FF8" w:rsidRPr="009D41CE">
              <w:t>askforce per la sperimentazione clinica</w:t>
            </w:r>
            <w:r w:rsidR="00EC24B7" w:rsidRPr="009D41CE">
              <w:t xml:space="preserve"> (</w:t>
            </w:r>
            <w:r w:rsidRPr="009D41CE">
              <w:t xml:space="preserve">attraverso il </w:t>
            </w:r>
            <w:r w:rsidR="00EC24B7" w:rsidRPr="009D41CE">
              <w:t xml:space="preserve">coordinamento della task force aziendale per la sperimentazione </w:t>
            </w:r>
            <w:r w:rsidR="003B0015" w:rsidRPr="009D41CE">
              <w:t>clinica,</w:t>
            </w:r>
            <w:r>
              <w:t xml:space="preserve"> il</w:t>
            </w:r>
            <w:r w:rsidR="00EC24B7" w:rsidRPr="009D41CE">
              <w:t xml:space="preserve"> supporto alle segreterie dei Comitati Etici di Area Vasta Centro e pediatrico per </w:t>
            </w:r>
            <w:r w:rsidR="003B0015">
              <w:t>la sperimentazione, v</w:t>
            </w:r>
            <w:r w:rsidR="00EC24B7" w:rsidRPr="009D41CE">
              <w:t>aluta</w:t>
            </w:r>
            <w:r w:rsidR="003B0015">
              <w:t>ndo</w:t>
            </w:r>
            <w:r w:rsidR="00EC24B7" w:rsidRPr="009D41CE">
              <w:t xml:space="preserve"> la </w:t>
            </w:r>
            <w:r w:rsidR="003B0015" w:rsidRPr="009D41CE">
              <w:t>fattibilità locale</w:t>
            </w:r>
            <w:r w:rsidR="00EC24B7" w:rsidRPr="009D41CE">
              <w:t xml:space="preserve">, il </w:t>
            </w:r>
            <w:r w:rsidR="003B0015" w:rsidRPr="009D41CE">
              <w:t>Budget di</w:t>
            </w:r>
            <w:r w:rsidR="00EC24B7" w:rsidRPr="009D41CE">
              <w:t xml:space="preserve">  progetto e  atti  autorizzativi  aziendali</w:t>
            </w:r>
            <w:r w:rsidR="003B0015">
              <w:t xml:space="preserve"> alle sperimentazioni cliniche e la gestione dei </w:t>
            </w:r>
            <w:r w:rsidR="00EC24B7" w:rsidRPr="009D41CE">
              <w:t>flussi  economici e i proventi, monitora</w:t>
            </w:r>
            <w:r w:rsidR="003B0015">
              <w:t>ndo</w:t>
            </w:r>
            <w:r w:rsidR="00EC24B7" w:rsidRPr="009D41CE">
              <w:t xml:space="preserve"> le attività, gli aspetti  regolatori e coordina</w:t>
            </w:r>
            <w:r w:rsidR="003B0015">
              <w:t>ndo</w:t>
            </w:r>
            <w:r w:rsidR="00EC24B7" w:rsidRPr="009D41CE">
              <w:t xml:space="preserve"> il Comitato  Etico Locale  aziendale)</w:t>
            </w:r>
          </w:p>
          <w:p w:rsidR="00C255BD" w:rsidRDefault="00C255BD">
            <w:pPr>
              <w:widowControl w:val="0"/>
              <w:rPr>
                <w:rFonts w:cstheme="minorHAnsi"/>
                <w:bCs/>
              </w:rPr>
            </w:pPr>
          </w:p>
          <w:p w:rsidR="002F2C61" w:rsidRDefault="00FF6150" w:rsidP="002F2C61">
            <w:pPr>
              <w:tabs>
                <w:tab w:val="left" w:pos="567"/>
              </w:tabs>
              <w:spacing w:before="0" w:after="0"/>
              <w:ind w:right="183"/>
            </w:pPr>
            <w:r w:rsidRPr="00004E02">
              <w:t>Svilupp</w:t>
            </w:r>
            <w:r w:rsidR="002F2C61" w:rsidRPr="00004E02">
              <w:t>o e gestione della</w:t>
            </w:r>
            <w:r w:rsidRPr="00004E02">
              <w:t xml:space="preserve"> verifica del possesso dei requisiti di esercizio ai sensi della Legge Regionale 51/2009 delle</w:t>
            </w:r>
            <w:r w:rsidR="002F2C61" w:rsidRPr="00004E02">
              <w:t xml:space="preserve"> strutture sanitarie aziendali;</w:t>
            </w:r>
            <w:r w:rsidRPr="00004E02">
              <w:t xml:space="preserve"> supporto tecnico in tema di requisiti autorizzativi   per vari soggetti aziendali nella valutazione di progetti e nella stima di fattibilità di aperture, trasferimenti, ampliamenti e trasformazioni di attività sanitarie nei presidi aziendali</w:t>
            </w:r>
            <w:r w:rsidR="002F2C61" w:rsidRPr="00004E02">
              <w:t>;</w:t>
            </w:r>
            <w:r w:rsidRPr="00004E02">
              <w:t xml:space="preserve">supporto tecnico nell'acquisizione di immobili destinati ad accogliere attività sanitarie aziendali </w:t>
            </w:r>
            <w:r w:rsidR="002F2C61" w:rsidRPr="00004E02">
              <w:t xml:space="preserve">; </w:t>
            </w:r>
            <w:r w:rsidRPr="00004E02">
              <w:t xml:space="preserve"> valutazione dei progetti per nuove realizzazioni o ristrutturazioni di strutture sanitarie aziendali in collaborazione con SEPP e Dipartimento Area Tecnica, in particolare per le nuove tipologie di presidi funzionali previste dal DM 77: Ospedali di Comunità e Case di Comunità</w:t>
            </w:r>
            <w:r w:rsidR="002F2C61" w:rsidRPr="00004E02">
              <w:t>;</w:t>
            </w:r>
            <w:r w:rsidRPr="00004E02">
              <w:t xml:space="preserve"> supporto alle strutture aziendali oggetto di verifica dei requisiti di esercizio da parte di commissioni esterne e al Servizio di Immunoematologia e Medicina Trasfusionale (SIMT) per le verifiche biennali di accreditamento eseguite da valutat</w:t>
            </w:r>
            <w:r w:rsidR="002F2C61" w:rsidRPr="00004E02">
              <w:t>ori esterni individuati d</w:t>
            </w:r>
            <w:bookmarkStart w:id="0" w:name="_GoBack"/>
            <w:bookmarkEnd w:id="0"/>
            <w:r w:rsidR="002F2C61" w:rsidRPr="00004E02">
              <w:t xml:space="preserve">al CRS; </w:t>
            </w:r>
            <w:r w:rsidRPr="00004E02">
              <w:lastRenderedPageBreak/>
              <w:t xml:space="preserve">sopralluoghi </w:t>
            </w:r>
            <w:r w:rsidR="002F2C61" w:rsidRPr="00004E02">
              <w:t xml:space="preserve">per </w:t>
            </w:r>
            <w:r w:rsidRPr="00004E02">
              <w:t xml:space="preserve"> verifica del mantenimento dei requisiti di esercizio nelle strutture aziendali sia in autonomia che in collaborazione con SEPP e Dipartimento Area Tecnica</w:t>
            </w:r>
          </w:p>
          <w:p w:rsidR="002F2C61" w:rsidRDefault="002F2C61" w:rsidP="002F2C61">
            <w:pPr>
              <w:tabs>
                <w:tab w:val="left" w:pos="567"/>
              </w:tabs>
              <w:spacing w:before="0" w:after="0"/>
              <w:ind w:right="183"/>
            </w:pPr>
          </w:p>
          <w:p w:rsidR="00134FF8" w:rsidRPr="002F2C61" w:rsidRDefault="00B9118B" w:rsidP="002F2C61">
            <w:pPr>
              <w:tabs>
                <w:tab w:val="left" w:pos="567"/>
              </w:tabs>
              <w:spacing w:before="0" w:after="0"/>
              <w:ind w:right="183"/>
            </w:pPr>
            <w:r>
              <w:t>Funzioni di Governo Clinico,</w:t>
            </w:r>
            <w:r w:rsidR="005E1527">
              <w:t xml:space="preserve"> Q</w:t>
            </w:r>
            <w:r w:rsidR="005E1527">
              <w:rPr>
                <w:rFonts w:cstheme="minorHAnsi"/>
                <w:bCs/>
              </w:rPr>
              <w:t>ualità e gestione Rischio Clinico; funzioni di prevenzione e monitoraggio delle Infezioni Correlate all’Assistenza;</w:t>
            </w:r>
            <w:r w:rsidR="002F2C61">
              <w:t>S</w:t>
            </w:r>
            <w:r w:rsidR="00FF6150">
              <w:rPr>
                <w:rFonts w:cstheme="minorHAnsi"/>
                <w:bCs/>
              </w:rPr>
              <w:t>upporto metodologico per autovalutazione prevista da normativa regionale</w:t>
            </w:r>
            <w:r w:rsidR="00004E02">
              <w:rPr>
                <w:rFonts w:cstheme="minorHAnsi"/>
                <w:bCs/>
              </w:rPr>
              <w:t xml:space="preserve"> accreditamento</w:t>
            </w:r>
            <w:r w:rsidR="00FF6150">
              <w:rPr>
                <w:rFonts w:cstheme="minorHAnsi"/>
                <w:bCs/>
              </w:rPr>
              <w:t xml:space="preserve"> per lo svolgimento di prestazioni per conto del SS</w:t>
            </w:r>
            <w:r w:rsidR="002F2C61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.</w:t>
            </w:r>
          </w:p>
          <w:p w:rsidR="00FF6150" w:rsidRDefault="00FF6150">
            <w:pPr>
              <w:widowControl w:val="0"/>
              <w:rPr>
                <w:rFonts w:cstheme="minorHAnsi"/>
                <w:bCs/>
              </w:rPr>
            </w:pPr>
          </w:p>
          <w:p w:rsidR="00FF6150" w:rsidRDefault="002F2C61" w:rsidP="002F2C61">
            <w:pPr>
              <w:spacing w:after="0"/>
              <w:rPr>
                <w:rFonts w:cstheme="minorHAnsi"/>
                <w:bCs/>
              </w:rPr>
            </w:pPr>
            <w:r w:rsidRPr="00004E02">
              <w:rPr>
                <w:rFonts w:cstheme="minorHAnsi"/>
                <w:bCs/>
              </w:rPr>
              <w:t>G</w:t>
            </w:r>
            <w:r w:rsidR="00FF6150" w:rsidRPr="00004E02">
              <w:rPr>
                <w:rFonts w:cstheme="minorHAnsi"/>
                <w:bCs/>
              </w:rPr>
              <w:t xml:space="preserve">estione documentale dell'azienda, </w:t>
            </w:r>
            <w:r w:rsidRPr="00004E02">
              <w:rPr>
                <w:rFonts w:cstheme="minorHAnsi"/>
                <w:bCs/>
              </w:rPr>
              <w:t>mantenimento del</w:t>
            </w:r>
            <w:r w:rsidR="00FF6150" w:rsidRPr="00004E02">
              <w:rPr>
                <w:rFonts w:cstheme="minorHAnsi"/>
                <w:bCs/>
              </w:rPr>
              <w:t xml:space="preserve"> registro dei documenti e </w:t>
            </w:r>
            <w:r w:rsidRPr="00004E02">
              <w:rPr>
                <w:rFonts w:cstheme="minorHAnsi"/>
                <w:bCs/>
              </w:rPr>
              <w:t>archiviazione;</w:t>
            </w:r>
            <w:r w:rsidR="00FF6150" w:rsidRPr="00004E02">
              <w:rPr>
                <w:rFonts w:cstheme="minorHAnsi"/>
                <w:bCs/>
              </w:rPr>
              <w:t xml:space="preserve"> supporto metodologico alla redazione in stret</w:t>
            </w:r>
            <w:r w:rsidR="00004E02">
              <w:rPr>
                <w:rFonts w:cstheme="minorHAnsi"/>
                <w:bCs/>
              </w:rPr>
              <w:t>to rapporto e con i redattori e i dipartimenti cui afferiscono.</w:t>
            </w:r>
          </w:p>
          <w:p w:rsidR="00FF6150" w:rsidRDefault="00FF6150">
            <w:pPr>
              <w:widowControl w:val="0"/>
              <w:rPr>
                <w:rFonts w:cstheme="minorHAnsi"/>
                <w:bCs/>
              </w:rPr>
            </w:pPr>
          </w:p>
          <w:p w:rsidR="001E4C9A" w:rsidRPr="00FC17E8" w:rsidRDefault="00FF6150" w:rsidP="00C06551">
            <w:pPr>
              <w:widowControl w:val="0"/>
              <w:rPr>
                <w:highlight w:val="yellow"/>
              </w:rPr>
            </w:pPr>
            <w:r>
              <w:rPr>
                <w:rFonts w:cstheme="minorHAnsi"/>
                <w:bCs/>
              </w:rPr>
              <w:t xml:space="preserve">Funzioni di </w:t>
            </w:r>
            <w:r w:rsidR="00004E02">
              <w:rPr>
                <w:rFonts w:cstheme="minorHAnsi"/>
                <w:bCs/>
              </w:rPr>
              <w:t>H</w:t>
            </w:r>
            <w:r w:rsidR="00004E02">
              <w:t>ealth Technology Assessment (HTA), processo multidisciplinare che utilizza metodi espliciti per determinare il valore di una tecnologia sanitaria nei diversi momenti del suo ciclo di vita. Lo scopo è informare i policy-makers al fine di promuovere un sistema sanitario equo, efficiente e di alta qualità</w:t>
            </w:r>
            <w:r w:rsidR="00B9118B">
              <w:t>.</w:t>
            </w:r>
          </w:p>
        </w:tc>
      </w:tr>
    </w:tbl>
    <w:p w:rsidR="001E4C9A" w:rsidRDefault="001E4C9A"/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7C2" w:rsidRDefault="004857C2" w:rsidP="001E4C9A">
      <w:pPr>
        <w:spacing w:before="0" w:after="0"/>
      </w:pPr>
      <w:r>
        <w:separator/>
      </w:r>
    </w:p>
  </w:endnote>
  <w:endnote w:type="continuationSeparator" w:id="1">
    <w:p w:rsidR="004857C2" w:rsidRDefault="004857C2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50" w:rsidRDefault="00FF6150">
    <w:pPr>
      <w:pStyle w:val="Pidipagina1"/>
      <w:jc w:val="center"/>
    </w:pPr>
    <w:r>
      <w:t xml:space="preserve">Pagina </w:t>
    </w:r>
    <w:r w:rsidR="00AD7981">
      <w:fldChar w:fldCharType="begin"/>
    </w:r>
    <w:r>
      <w:instrText>PAGE</w:instrText>
    </w:r>
    <w:r w:rsidR="00AD7981">
      <w:fldChar w:fldCharType="separate"/>
    </w:r>
    <w:r w:rsidR="00932442">
      <w:rPr>
        <w:noProof/>
      </w:rPr>
      <w:t>1</w:t>
    </w:r>
    <w:r w:rsidR="00AD7981">
      <w:fldChar w:fldCharType="end"/>
    </w:r>
    <w:r>
      <w:t xml:space="preserve"> di </w:t>
    </w:r>
    <w:r w:rsidR="00AD7981">
      <w:fldChar w:fldCharType="begin"/>
    </w:r>
    <w:r>
      <w:instrText>NUMPAGES</w:instrText>
    </w:r>
    <w:r w:rsidR="00AD7981">
      <w:fldChar w:fldCharType="separate"/>
    </w:r>
    <w:r w:rsidR="00932442">
      <w:rPr>
        <w:noProof/>
      </w:rPr>
      <w:t>3</w:t>
    </w:r>
    <w:r w:rsidR="00AD798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7C2" w:rsidRDefault="004857C2" w:rsidP="001E4C9A">
      <w:pPr>
        <w:spacing w:before="0" w:after="0"/>
      </w:pPr>
      <w:r>
        <w:separator/>
      </w:r>
    </w:p>
  </w:footnote>
  <w:footnote w:type="continuationSeparator" w:id="1">
    <w:p w:rsidR="004857C2" w:rsidRDefault="004857C2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eastAsia="en-US"/>
      </w:rPr>
    </w:lvl>
  </w:abstractNum>
  <w:abstractNum w:abstractNumId="1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004E02"/>
    <w:rsid w:val="00013B33"/>
    <w:rsid w:val="000246E9"/>
    <w:rsid w:val="00113B3C"/>
    <w:rsid w:val="00134FF8"/>
    <w:rsid w:val="00181466"/>
    <w:rsid w:val="001E4C9A"/>
    <w:rsid w:val="00203939"/>
    <w:rsid w:val="002F2C61"/>
    <w:rsid w:val="003B0015"/>
    <w:rsid w:val="00480FC2"/>
    <w:rsid w:val="004857C2"/>
    <w:rsid w:val="005E0B08"/>
    <w:rsid w:val="005E1527"/>
    <w:rsid w:val="006624A4"/>
    <w:rsid w:val="00674816"/>
    <w:rsid w:val="00844475"/>
    <w:rsid w:val="008D3F05"/>
    <w:rsid w:val="008F3961"/>
    <w:rsid w:val="00932442"/>
    <w:rsid w:val="00982A73"/>
    <w:rsid w:val="009C2F59"/>
    <w:rsid w:val="009D41CE"/>
    <w:rsid w:val="00AD7981"/>
    <w:rsid w:val="00B0048D"/>
    <w:rsid w:val="00B9118B"/>
    <w:rsid w:val="00BA13ED"/>
    <w:rsid w:val="00BA5440"/>
    <w:rsid w:val="00BB3277"/>
    <w:rsid w:val="00BD223C"/>
    <w:rsid w:val="00C06551"/>
    <w:rsid w:val="00C255BD"/>
    <w:rsid w:val="00CB1309"/>
    <w:rsid w:val="00D232CB"/>
    <w:rsid w:val="00D3568A"/>
    <w:rsid w:val="00DC2F41"/>
    <w:rsid w:val="00DC3B2F"/>
    <w:rsid w:val="00EC24B7"/>
    <w:rsid w:val="00F272A1"/>
    <w:rsid w:val="00FB475F"/>
    <w:rsid w:val="00FC17E8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dcterms:created xsi:type="dcterms:W3CDTF">2024-08-20T07:26:00Z</dcterms:created>
  <dcterms:modified xsi:type="dcterms:W3CDTF">2024-08-20T07:26:00Z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