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9A" w:rsidRDefault="00FB475F">
      <w:pPr>
        <w:jc w:val="center"/>
        <w:rPr>
          <w:b/>
          <w:bCs/>
        </w:rPr>
      </w:pPr>
      <w:r>
        <w:rPr>
          <w:b/>
          <w:bCs/>
        </w:rPr>
        <w:t>SCHEDA FUNZIONI E ATTIVITÀ</w:t>
      </w:r>
    </w:p>
    <w:p w:rsidR="001E4C9A" w:rsidRDefault="00FB475F">
      <w:pPr>
        <w:jc w:val="center"/>
      </w:pPr>
      <w:r>
        <w:t>(Da pubblicare all’interno dell’organigramma aziendale on-line)</w:t>
      </w:r>
    </w:p>
    <w:p w:rsidR="001E4C9A" w:rsidRDefault="001E4C9A">
      <w:pPr>
        <w:jc w:val="center"/>
      </w:pP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8"/>
      </w:tblGrid>
      <w:tr w:rsidR="001E4C9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Staff/Dipartimento: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 w:rsidP="00100B7D">
            <w:pPr>
              <w:widowControl w:val="0"/>
            </w:pPr>
            <w:r>
              <w:rPr>
                <w:color w:val="333333"/>
              </w:rPr>
              <w:t xml:space="preserve">Dipartimento </w:t>
            </w:r>
            <w:r w:rsidR="00100B7D">
              <w:rPr>
                <w:color w:val="333333"/>
              </w:rPr>
              <w:t>di Medicina Multidimensionale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Direttore dello Staff/Dipartimento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100B7D" w:rsidP="00100B7D">
            <w:pPr>
              <w:widowControl w:val="0"/>
            </w:pPr>
            <w:r>
              <w:t>Enrico Benvenuti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100B7D" w:rsidP="00100B7D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Strutture del</w:t>
            </w:r>
            <w:r w:rsidR="00FE7D52">
              <w:rPr>
                <w:b/>
                <w:bCs/>
              </w:rPr>
              <w:t>lo Staff/</w:t>
            </w:r>
            <w:r w:rsidR="00FB475F">
              <w:rPr>
                <w:b/>
                <w:bCs/>
              </w:rPr>
              <w:t>Dipartimento: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</w:pPr>
            <w:r>
              <w:rPr>
                <w:color w:val="333333"/>
              </w:rPr>
              <w:t xml:space="preserve">Il Dipartimento </w:t>
            </w:r>
            <w:r w:rsidR="00100B7D">
              <w:rPr>
                <w:color w:val="333333"/>
              </w:rPr>
              <w:t>Medicina Multidimensionale</w:t>
            </w:r>
            <w:r>
              <w:rPr>
                <w:color w:val="333333"/>
              </w:rPr>
              <w:t xml:space="preserve"> è costituito dalle seguenti </w:t>
            </w:r>
            <w:r>
              <w:rPr>
                <w:color w:val="555555"/>
              </w:rPr>
              <w:t>Unità Operative:</w:t>
            </w:r>
          </w:p>
          <w:p w:rsidR="001E4C9A" w:rsidRDefault="00100B7D">
            <w:pPr>
              <w:widowControl w:val="0"/>
              <w:numPr>
                <w:ilvl w:val="0"/>
                <w:numId w:val="1"/>
              </w:numPr>
            </w:pPr>
            <w:r>
              <w:t>M</w:t>
            </w:r>
            <w:r w:rsidR="00FE7D52">
              <w:t>edicina I</w:t>
            </w:r>
            <w:r>
              <w:t xml:space="preserve">nterna e </w:t>
            </w:r>
            <w:r w:rsidR="00FE7D52">
              <w:t>M</w:t>
            </w:r>
            <w:r>
              <w:t xml:space="preserve">edicina </w:t>
            </w:r>
            <w:r w:rsidR="00FE7D52">
              <w:t>V</w:t>
            </w:r>
            <w:r>
              <w:t>ascolare</w:t>
            </w:r>
          </w:p>
          <w:p w:rsidR="00100B7D" w:rsidRDefault="00100B7D">
            <w:pPr>
              <w:widowControl w:val="0"/>
              <w:numPr>
                <w:ilvl w:val="0"/>
                <w:numId w:val="1"/>
              </w:numPr>
            </w:pPr>
            <w:r>
              <w:t xml:space="preserve">Geriatria </w:t>
            </w:r>
          </w:p>
          <w:p w:rsidR="00100B7D" w:rsidRDefault="00100B7D">
            <w:pPr>
              <w:widowControl w:val="0"/>
              <w:numPr>
                <w:ilvl w:val="0"/>
                <w:numId w:val="1"/>
              </w:numPr>
            </w:pPr>
            <w:r>
              <w:t xml:space="preserve">Malattie </w:t>
            </w:r>
            <w:r w:rsidR="00FE7D52">
              <w:t>I</w:t>
            </w:r>
            <w:r>
              <w:t>nfettive</w:t>
            </w:r>
          </w:p>
          <w:p w:rsidR="00100B7D" w:rsidRDefault="00100B7D">
            <w:pPr>
              <w:widowControl w:val="0"/>
              <w:numPr>
                <w:ilvl w:val="0"/>
                <w:numId w:val="1"/>
              </w:numPr>
            </w:pPr>
            <w:r>
              <w:t>Reumatologia</w:t>
            </w:r>
          </w:p>
          <w:p w:rsidR="00100B7D" w:rsidRDefault="00100B7D">
            <w:pPr>
              <w:widowControl w:val="0"/>
              <w:numPr>
                <w:ilvl w:val="0"/>
                <w:numId w:val="1"/>
              </w:numPr>
            </w:pPr>
            <w:r>
              <w:t>Dermatologia</w:t>
            </w:r>
          </w:p>
          <w:p w:rsidR="00100B7D" w:rsidRDefault="00100B7D" w:rsidP="00100B7D">
            <w:pPr>
              <w:widowControl w:val="0"/>
              <w:numPr>
                <w:ilvl w:val="0"/>
                <w:numId w:val="1"/>
              </w:numPr>
            </w:pPr>
            <w:r>
              <w:t xml:space="preserve">Diabetologia </w:t>
            </w:r>
          </w:p>
          <w:p w:rsidR="00100B7D" w:rsidRDefault="00100B7D" w:rsidP="00100B7D">
            <w:pPr>
              <w:widowControl w:val="0"/>
              <w:numPr>
                <w:ilvl w:val="0"/>
                <w:numId w:val="1"/>
              </w:numPr>
            </w:pPr>
            <w:r>
              <w:t>Endocrinologia</w:t>
            </w:r>
          </w:p>
          <w:p w:rsidR="00100B7D" w:rsidRDefault="00100B7D" w:rsidP="00100B7D">
            <w:pPr>
              <w:widowControl w:val="0"/>
              <w:numPr>
                <w:ilvl w:val="0"/>
                <w:numId w:val="1"/>
              </w:numPr>
            </w:pPr>
            <w:r>
              <w:t>Allergologia</w:t>
            </w:r>
            <w:r w:rsidR="0038779F">
              <w:t xml:space="preserve"> e Immunologia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4C9A" w:rsidRDefault="00FB475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Funzioni e attività dello Staff/Dipartimento e delle relative strutture:</w:t>
            </w:r>
          </w:p>
        </w:tc>
      </w:tr>
      <w:tr w:rsidR="001E4C9A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7D52" w:rsidRPr="00FE7D52" w:rsidRDefault="00FE7D52" w:rsidP="0038779F">
            <w:pPr>
              <w:suppressAutoHyphens w:val="0"/>
              <w:spacing w:before="0" w:after="0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Queste Unità Operative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 collaborano strettamente nei percorsi di emergenza de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l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 P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 xml:space="preserve">ronto 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S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occorso, primi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 tra tutti AMA (Area Medic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>a di A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 xml:space="preserve">mmissione),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GIROT (Gruppo I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ntervento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Rapido Ospedale Territorio) 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in DEA e 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GIROT T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erritoriale.</w:t>
            </w:r>
          </w:p>
          <w:p w:rsidR="00FE7D52" w:rsidRPr="00FE7D52" w:rsidRDefault="00FE7D52" w:rsidP="0038779F">
            <w:pPr>
              <w:suppressAutoHyphens w:val="0"/>
              <w:spacing w:before="0" w:after="0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FB0A16" w:rsidRDefault="0038779F" w:rsidP="0038779F">
            <w:pPr>
              <w:suppressAutoHyphens w:val="0"/>
              <w:spacing w:before="0" w:after="0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Il Dipartimento di</w:t>
            </w:r>
            <w:r w:rsidR="00FE7D52"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 Medicina Multidimensionale ha come obiettivo la presa in carico dei pazienti con patologie di interesse internistico, negli ospedali, declinati secondo il modello di intensità delle cure: Medicina Interna ad alta Intensità, detta di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 xml:space="preserve"> 2A, ricoveri ordinari, 2</w:t>
            </w:r>
            <w:r w:rsidR="00FE7D52"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B, AMA, Day Service </w:t>
            </w:r>
            <w:r w:rsidR="00FE7D52" w:rsidRPr="00FE7D52">
              <w:rPr>
                <w:rFonts w:ascii="Times New Roman" w:eastAsia="Times New Roman" w:hAnsi="Times New Roman" w:cs="Times New Roman"/>
                <w:lang w:eastAsia="it-IT"/>
              </w:rPr>
              <w:t>o</w:t>
            </w:r>
            <w:r w:rsidR="00FE7D52" w:rsidRPr="00FE7D52">
              <w:rPr>
                <w:rFonts w:ascii="Times New Roman" w:eastAsia="Times New Roman" w:hAnsi="Times New Roman" w:cs="Times New Roman"/>
                <w:lang w:eastAsia="it-IT"/>
              </w:rPr>
              <w:t>spedaliero.</w:t>
            </w:r>
          </w:p>
          <w:p w:rsidR="00FB0A16" w:rsidRDefault="00FE7D52" w:rsidP="0038779F">
            <w:pPr>
              <w:suppressAutoHyphens w:val="0"/>
              <w:spacing w:before="0" w:after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Il paziente anziano complesso ha il supporto della Geriatria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,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 xml:space="preserve"> anch'essa declinata n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ei servizi: per 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a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cuti, GIROT in DEA e GIROT (con l'obiettivo di rafforzare la rete territoriale prendendo in carico pazienti con scompenso clinico che possano fare le stesse cure che farebbero in ospedale al proprio domicili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o), Cure Intermedie, RSA e Day S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ervice Territoriale (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>presso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 xml:space="preserve"> le Case di Comunità). </w:t>
            </w:r>
          </w:p>
          <w:p w:rsidR="00FE7D52" w:rsidRPr="00FE7D52" w:rsidRDefault="0038779F" w:rsidP="0038779F">
            <w:pPr>
              <w:suppressAutoHyphens w:val="0"/>
              <w:spacing w:before="0" w:after="0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Inoltre, </w:t>
            </w:r>
            <w:r w:rsidR="00FE7D52" w:rsidRPr="00FE7D52">
              <w:rPr>
                <w:rFonts w:ascii="Times New Roman" w:eastAsia="Times New Roman" w:hAnsi="Times New Roman" w:cs="Times New Roman"/>
                <w:lang w:eastAsia="it-IT"/>
              </w:rPr>
              <w:t>sono presenti le Malattie Infettive nello loro attività specifica ne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i letti di degenza, cons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u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lenze, Day Hospital, a</w:t>
            </w:r>
            <w:r w:rsidR="00FE7D52" w:rsidRPr="00FE7D52">
              <w:rPr>
                <w:rFonts w:ascii="Times New Roman" w:eastAsia="Times New Roman" w:hAnsi="Times New Roman" w:cs="Times New Roman"/>
                <w:lang w:eastAsia="it-IT"/>
              </w:rPr>
              <w:t>mbulatori, attività dentro il carcere.</w:t>
            </w:r>
          </w:p>
          <w:p w:rsidR="00FE7D52" w:rsidRPr="00FE7D52" w:rsidRDefault="00FE7D52" w:rsidP="0038779F">
            <w:pPr>
              <w:suppressAutoHyphens w:val="0"/>
              <w:spacing w:before="0" w:after="0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FE7D52" w:rsidRDefault="00FE7D52" w:rsidP="0038779F">
            <w:pPr>
              <w:suppressAutoHyphens w:val="0"/>
              <w:spacing w:before="0" w:after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Le attività ambulatoriali di secondo livel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 xml:space="preserve">lo fornite dalle specialistiche, 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quali la diabetologia, end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o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crinologia, reumatologia, immunologia, genetica e derma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tologia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>,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 xml:space="preserve"> costituiscono una rete ambulat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o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 xml:space="preserve">riale che, 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 xml:space="preserve">attraverso l'utilizzo del Day 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Service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 xml:space="preserve"> -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D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ay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 H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ospital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 xml:space="preserve">, 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gestisc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e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 la maggior parte dei pazienti con malattie croniche complesse</w:t>
            </w:r>
            <w:r w:rsidR="00FB0A16">
              <w:rPr>
                <w:rFonts w:ascii="Times New Roman" w:eastAsia="Times New Roman" w:hAnsi="Times New Roman" w:cs="Times New Roman"/>
                <w:lang w:eastAsia="it-IT"/>
              </w:rPr>
              <w:t>,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 evitando inutili ricoveri e costituendo una rete di servizi ind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i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spensabile di supporto all'ospedale ed al territorio.</w:t>
            </w:r>
          </w:p>
          <w:p w:rsidR="00FB0A16" w:rsidRPr="00FE7D52" w:rsidRDefault="00FB0A16" w:rsidP="0038779F">
            <w:pPr>
              <w:suppressAutoHyphens w:val="0"/>
              <w:spacing w:before="0" w:after="0"/>
              <w:rPr>
                <w:rFonts w:ascii="Times New Roman" w:eastAsia="Times New Roman" w:hAnsi="Times New Roman" w:cs="Times New Roman"/>
                <w:lang w:eastAsia="it-IT"/>
              </w:rPr>
            </w:pPr>
          </w:p>
          <w:p w:rsidR="001E4C9A" w:rsidRDefault="00FE7D52" w:rsidP="0038779F">
            <w:pPr>
              <w:suppressAutoHyphens w:val="0"/>
              <w:spacing w:before="0" w:after="0"/>
            </w:pP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lastRenderedPageBreak/>
              <w:t>Ogni servizio, compresi i letti di degenza</w:t>
            </w:r>
            <w:r w:rsidR="0038779F">
              <w:rPr>
                <w:rFonts w:ascii="Times New Roman" w:eastAsia="Times New Roman" w:hAnsi="Times New Roman" w:cs="Times New Roman"/>
                <w:lang w:eastAsia="it-IT"/>
              </w:rPr>
              <w:t>,è tarato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 xml:space="preserve"> sul bacino di utenza. La parte territoriale si avv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a</w:t>
            </w:r>
            <w:r w:rsidRPr="00FE7D52">
              <w:rPr>
                <w:rFonts w:ascii="Times New Roman" w:eastAsia="Times New Roman" w:hAnsi="Times New Roman" w:cs="Times New Roman"/>
                <w:lang w:eastAsia="it-IT"/>
              </w:rPr>
              <w:t>le della stretta collaborazione con le Società della Salute e con il servizio sociale.</w:t>
            </w:r>
          </w:p>
        </w:tc>
      </w:tr>
    </w:tbl>
    <w:p w:rsidR="001E4C9A" w:rsidRDefault="001E4C9A">
      <w:bookmarkStart w:id="0" w:name="_GoBack"/>
      <w:bookmarkEnd w:id="0"/>
    </w:p>
    <w:sectPr w:rsidR="001E4C9A" w:rsidSect="001E4C9A">
      <w:footerReference w:type="default" r:id="rId7"/>
      <w:pgSz w:w="11906" w:h="16838"/>
      <w:pgMar w:top="1417" w:right="1134" w:bottom="1824" w:left="1134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8E3" w:rsidRDefault="001528E3" w:rsidP="001E4C9A">
      <w:pPr>
        <w:spacing w:before="0" w:after="0"/>
      </w:pPr>
      <w:r>
        <w:separator/>
      </w:r>
    </w:p>
  </w:endnote>
  <w:endnote w:type="continuationSeparator" w:id="1">
    <w:p w:rsidR="001528E3" w:rsidRDefault="001528E3" w:rsidP="001E4C9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9A" w:rsidRDefault="00FB475F">
    <w:pPr>
      <w:pStyle w:val="Pidipagina1"/>
      <w:jc w:val="center"/>
    </w:pPr>
    <w:r>
      <w:t xml:space="preserve">Pagina </w:t>
    </w:r>
    <w:r w:rsidR="00A07414">
      <w:fldChar w:fldCharType="begin"/>
    </w:r>
    <w:r>
      <w:instrText>PAGE</w:instrText>
    </w:r>
    <w:r w:rsidR="00A07414">
      <w:fldChar w:fldCharType="separate"/>
    </w:r>
    <w:r w:rsidR="00BD5C33">
      <w:rPr>
        <w:noProof/>
      </w:rPr>
      <w:t>1</w:t>
    </w:r>
    <w:r w:rsidR="00A07414">
      <w:fldChar w:fldCharType="end"/>
    </w:r>
    <w:r>
      <w:t xml:space="preserve"> di </w:t>
    </w:r>
    <w:r w:rsidR="00A07414">
      <w:fldChar w:fldCharType="begin"/>
    </w:r>
    <w:r>
      <w:instrText>NUMPAGES</w:instrText>
    </w:r>
    <w:r w:rsidR="00A07414">
      <w:fldChar w:fldCharType="separate"/>
    </w:r>
    <w:r w:rsidR="00BD5C33">
      <w:rPr>
        <w:noProof/>
      </w:rPr>
      <w:t>2</w:t>
    </w:r>
    <w:r w:rsidR="00A07414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8E3" w:rsidRDefault="001528E3" w:rsidP="001E4C9A">
      <w:pPr>
        <w:spacing w:before="0" w:after="0"/>
      </w:pPr>
      <w:r>
        <w:separator/>
      </w:r>
    </w:p>
  </w:footnote>
  <w:footnote w:type="continuationSeparator" w:id="1">
    <w:p w:rsidR="001528E3" w:rsidRDefault="001528E3" w:rsidP="001E4C9A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D60"/>
    <w:multiLevelType w:val="multilevel"/>
    <w:tmpl w:val="AE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9B97819"/>
    <w:multiLevelType w:val="multilevel"/>
    <w:tmpl w:val="66428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C9A"/>
    <w:rsid w:val="00100B7D"/>
    <w:rsid w:val="001528E3"/>
    <w:rsid w:val="001E4C9A"/>
    <w:rsid w:val="00306AFE"/>
    <w:rsid w:val="0038779F"/>
    <w:rsid w:val="005E0B08"/>
    <w:rsid w:val="00A07414"/>
    <w:rsid w:val="00A53A9C"/>
    <w:rsid w:val="00BD5C33"/>
    <w:rsid w:val="00FB0A16"/>
    <w:rsid w:val="00FB475F"/>
    <w:rsid w:val="00FE7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16F26"/>
    <w:pPr>
      <w:spacing w:before="57" w:after="57"/>
      <w:jc w:val="both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forte">
    <w:name w:val="Enfasi forte"/>
    <w:qFormat/>
    <w:rsid w:val="001E4C9A"/>
    <w:rPr>
      <w:b/>
      <w:bCs/>
    </w:rPr>
  </w:style>
  <w:style w:type="character" w:customStyle="1" w:styleId="Punti">
    <w:name w:val="Punti"/>
    <w:qFormat/>
    <w:rsid w:val="001E4C9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qFormat/>
    <w:rsid w:val="001E4C9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E4C9A"/>
    <w:pPr>
      <w:spacing w:before="0" w:after="140" w:line="276" w:lineRule="auto"/>
    </w:pPr>
  </w:style>
  <w:style w:type="paragraph" w:styleId="Elenco">
    <w:name w:val="List"/>
    <w:basedOn w:val="Corpodeltesto"/>
    <w:rsid w:val="001E4C9A"/>
    <w:rPr>
      <w:rFonts w:cs="Lucida Sans"/>
    </w:rPr>
  </w:style>
  <w:style w:type="paragraph" w:customStyle="1" w:styleId="Didascalia1">
    <w:name w:val="Didascalia1"/>
    <w:basedOn w:val="Normale"/>
    <w:qFormat/>
    <w:rsid w:val="001E4C9A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E4C9A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1E4C9A"/>
    <w:pPr>
      <w:widowControl w:val="0"/>
      <w:suppressLineNumbers/>
    </w:pPr>
  </w:style>
  <w:style w:type="paragraph" w:customStyle="1" w:styleId="Intestazioneepidipagina">
    <w:name w:val="Intestazione e piè di pagina"/>
    <w:basedOn w:val="Normale"/>
    <w:qFormat/>
    <w:rsid w:val="001E4C9A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Intestazioneepidipagina"/>
    <w:rsid w:val="001E4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sonnj.paccagnini</cp:lastModifiedBy>
  <cp:revision>2</cp:revision>
  <dcterms:created xsi:type="dcterms:W3CDTF">2024-08-22T16:54:00Z</dcterms:created>
  <dcterms:modified xsi:type="dcterms:W3CDTF">2024-08-22T16:54:00Z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